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股票简称：深物业A</w:t>
            </w:r>
          </w:p>
        </w:tc>
        <w:tc>
          <w:tcPr>
            <w:tcW w:type="dxa" w:w="4320"/>
          </w:tcPr>
          <w:p>
            <w:r>
              <w:t>股票代码：000011</w:t>
            </w:r>
          </w:p>
        </w:tc>
      </w:tr>
      <w:tr>
        <w:tc>
          <w:tcPr>
            <w:tcW w:type="dxa" w:w="4320"/>
          </w:tcPr>
          <w:p>
            <w:r>
              <w:t>涨跌幅：27.70  +0.23/+0.84%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总股本(股)：5.96亿</w:t>
            </w:r>
          </w:p>
        </w:tc>
        <w:tc>
          <w:tcPr>
            <w:tcW w:type="dxa" w:w="4320"/>
          </w:tcPr>
          <w:p>
            <w:r>
              <w:t>流通比例(%)：99.68</w:t>
            </w:r>
          </w:p>
        </w:tc>
      </w:tr>
      <w:tr>
        <w:tc>
          <w:tcPr>
            <w:tcW w:type="dxa" w:w="4320"/>
          </w:tcPr>
          <w:p>
            <w:r>
              <w:t>总市值(亿元)：150.91</w:t>
            </w:r>
          </w:p>
        </w:tc>
        <w:tc>
          <w:tcPr>
            <w:tcW w:type="dxa" w:w="4320"/>
          </w:tcPr>
          <w:p>
            <w:r>
              <w:t>流通市值(亿元)：145.83</w:t>
            </w:r>
          </w:p>
        </w:tc>
      </w:tr>
      <w:tr>
        <w:tc>
          <w:tcPr>
            <w:tcW w:type="dxa" w:w="4320"/>
          </w:tcPr>
          <w:p>
            <w:r>
              <w:t>市盈率(倍)：27.15</w:t>
            </w:r>
          </w:p>
        </w:tc>
        <w:tc>
          <w:tcPr>
            <w:tcW w:type="dxa" w:w="4320"/>
          </w:tcPr>
          <w:p>
            <w:r>
              <w:t>市净率(倍)：5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1.52亿</w:t>
            </w:r>
          </w:p>
        </w:tc>
        <w:tc>
          <w:tcPr>
            <w:tcW w:type="dxa" w:w="2160"/>
          </w:tcPr>
          <w:p>
            <w:r>
              <w:t>59.54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8.18亿</w:t>
            </w:r>
          </w:p>
        </w:tc>
        <w:tc>
          <w:tcPr>
            <w:tcW w:type="dxa" w:w="2160"/>
          </w:tcPr>
          <w:p>
            <w:r>
              <w:t>17.16</w:t>
            </w:r>
          </w:p>
        </w:tc>
        <w:tc>
          <w:tcPr>
            <w:tcW w:type="dxa" w:w="2160"/>
          </w:tcPr>
          <w:p>
            <w:r>
              <w:t>1.37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1.03亿</w:t>
            </w:r>
          </w:p>
        </w:tc>
        <w:tc>
          <w:tcPr>
            <w:tcW w:type="dxa" w:w="2160"/>
          </w:tcPr>
          <w:p>
            <w:r>
              <w:t>-28.52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主营产品名称：交通运输，饮食服务，房地产开发，房地产，房屋租赁，物业管理</w:t>
            </w:r>
          </w:p>
        </w:tc>
      </w:tr>
      <w:tr>
        <w:tc>
          <w:tcPr>
            <w:tcW w:type="dxa" w:w="8640"/>
          </w:tcPr>
          <w:p>
            <w:r>
              <w:t>所属概念：工业用地，B转H，粤港澳大湾区，地方国资改革，广东国资改革，深圳国资改革，免税店，富时罗素概念股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