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股票简称：申达股份</w:t>
            </w:r>
          </w:p>
        </w:tc>
        <w:tc>
          <w:tcPr>
            <w:tcW w:type="dxa" w:w="4320"/>
          </w:tcPr>
          <w:p>
            <w:r>
              <w:t>股票代码：600626</w:t>
            </w:r>
          </w:p>
        </w:tc>
      </w:tr>
      <w:tr>
        <w:tc>
          <w:tcPr>
            <w:tcW w:type="dxa" w:w="4320"/>
          </w:tcPr>
          <w:p>
            <w:r>
              <w:t>涨跌幅：5.31  -0.03/-0.56%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总股本(股)：8.52亿</w:t>
            </w:r>
          </w:p>
        </w:tc>
        <w:tc>
          <w:tcPr>
            <w:tcW w:type="dxa" w:w="4320"/>
          </w:tcPr>
          <w:p>
            <w:r>
              <w:t>流通比例(%)：94.82</w:t>
            </w:r>
          </w:p>
        </w:tc>
      </w:tr>
      <w:tr>
        <w:tc>
          <w:tcPr>
            <w:tcW w:type="dxa" w:w="4320"/>
          </w:tcPr>
          <w:p>
            <w:r>
              <w:t>总市值(亿元)：45.26</w:t>
            </w:r>
          </w:p>
        </w:tc>
        <w:tc>
          <w:tcPr>
            <w:tcW w:type="dxa" w:w="4320"/>
          </w:tcPr>
          <w:p>
            <w:r>
              <w:t>流通市值(亿元)：42.91</w:t>
            </w:r>
          </w:p>
        </w:tc>
      </w:tr>
      <w:tr>
        <w:tc>
          <w:tcPr>
            <w:tcW w:type="dxa" w:w="4320"/>
          </w:tcPr>
          <w:p>
            <w:r>
              <w:t>市盈率(倍)：8.91</w:t>
            </w:r>
          </w:p>
        </w:tc>
        <w:tc>
          <w:tcPr>
            <w:tcW w:type="dxa" w:w="4320"/>
          </w:tcPr>
          <w:p>
            <w:r>
              <w:t>市净率(倍)：1.32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1.27亿</w:t>
            </w:r>
          </w:p>
        </w:tc>
        <w:tc>
          <w:tcPr>
            <w:tcW w:type="dxa" w:w="2160"/>
          </w:tcPr>
          <w:p>
            <w:r>
              <w:t>-72.76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6,565.34万</w:t>
            </w:r>
          </w:p>
        </w:tc>
        <w:tc>
          <w:tcPr>
            <w:tcW w:type="dxa" w:w="2160"/>
          </w:tcPr>
          <w:p>
            <w:r>
              <w:t>-47.56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3.69亿</w:t>
            </w:r>
          </w:p>
        </w:tc>
        <w:tc>
          <w:tcPr>
            <w:tcW w:type="dxa" w:w="2160"/>
          </w:tcPr>
          <w:p>
            <w:r>
              <w:t>282.01</w:t>
            </w:r>
          </w:p>
        </w:tc>
        <w:tc>
          <w:tcPr>
            <w:tcW w:type="dxa" w:w="2160"/>
          </w:tcPr>
          <w:p>
            <w:r>
              <w:t>0.43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成型产品，顶棚面料，卡车篷布，船用布，膜结构材料，衣帽架面料，成型地毯，汽车内饰，纺织品，针刺产品，土地流转，碳纤维，产业用品业务，汽车内饰业务，进出口业务，新材料业务，汽车内饰及声学元件产品，纺织新材料产品，进出口贸易，新材料产品</w:t>
            </w:r>
          </w:p>
        </w:tc>
      </w:tr>
      <w:tr>
        <w:tc>
          <w:tcPr>
            <w:tcW w:type="dxa" w:w="8640"/>
          </w:tcPr>
          <w:p>
            <w:r>
              <w:t>所属概念：外贸，汽车电子，海洋油污清理，融资融券，沪股通，转融券标的，人民币贬值受益，进口博览会，新材料概念，上海国资改革，地方国资改革，上海自贸区，特斯拉，富时罗素概念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