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股票简称：绿地控股</w:t>
            </w:r>
          </w:p>
        </w:tc>
        <w:tc>
          <w:tcPr>
            <w:tcW w:type="dxa" w:w="4320"/>
          </w:tcPr>
          <w:p>
            <w:r>
              <w:t>股票代码：600606</w:t>
            </w:r>
          </w:p>
        </w:tc>
      </w:tr>
      <w:tr>
        <w:tc>
          <w:tcPr>
            <w:tcW w:type="dxa" w:w="4320"/>
          </w:tcPr>
          <w:p>
            <w:r>
              <w:t>涨跌幅：8.93  +0.25/+2.88%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总股本(股)：121.68亿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总市值(亿元)：1086.62</w:t>
            </w:r>
          </w:p>
        </w:tc>
        <w:tc>
          <w:tcPr>
            <w:tcW w:type="dxa" w:w="4320"/>
          </w:tcPr>
          <w:p>
            <w:r>
              <w:t>流通市值(亿元)：1086.62</w:t>
            </w:r>
          </w:p>
        </w:tc>
      </w:tr>
      <w:tr>
        <w:tc>
          <w:tcPr>
            <w:tcW w:type="dxa" w:w="4320"/>
          </w:tcPr>
          <w:p>
            <w:r>
              <w:t>市盈率(倍)：7.42</w:t>
            </w:r>
          </w:p>
        </w:tc>
        <w:tc>
          <w:tcPr>
            <w:tcW w:type="dxa" w:w="4320"/>
          </w:tcPr>
          <w:p>
            <w:r>
              <w:t>市净率(倍)：1.41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36.64亿</w:t>
            </w:r>
          </w:p>
        </w:tc>
        <w:tc>
          <w:tcPr>
            <w:tcW w:type="dxa" w:w="2160"/>
          </w:tcPr>
          <w:p>
            <w:r>
              <w:t>-16.88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147.43亿</w:t>
            </w:r>
          </w:p>
        </w:tc>
        <w:tc>
          <w:tcPr>
            <w:tcW w:type="dxa" w:w="2160"/>
          </w:tcPr>
          <w:p>
            <w:r>
              <w:t>29.61</w:t>
            </w:r>
          </w:p>
        </w:tc>
        <w:tc>
          <w:tcPr>
            <w:tcW w:type="dxa" w:w="2160"/>
          </w:tcPr>
          <w:p>
            <w:r>
              <w:t>1.21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118.13亿</w:t>
            </w:r>
          </w:p>
        </w:tc>
        <w:tc>
          <w:tcPr>
            <w:tcW w:type="dxa" w:w="2160"/>
          </w:tcPr>
          <w:p>
            <w:r>
              <w:t>32.83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房地产流通服务业务，房地产委托管理服务业务，投资开发，金融服务，房地产开发，酒店服务，印象剑桥，金丰蓝庭，代建管理，金改，房地产销售，物业管理，房地产及相关产业，建筑及相关产业，商品销售及相关产业，能源及相关产业，汽车及相关产业，绿化及相关产业，物业及相关产业，酒店及相关产业，金融及相关产业，租赁收入，住宅，商办，专业工程，建筑装饰，建筑设计，建筑材料贸易，园林绿化，债权投资，股权投资，资产管理和资本运作，进口商品直销，酒店旅游，绿地全球商品直销中心，煤炭贸易，油品零售</w:t>
            </w:r>
          </w:p>
        </w:tc>
      </w:tr>
      <w:tr>
        <w:tc>
          <w:tcPr>
            <w:tcW w:type="dxa" w:w="8640"/>
          </w:tcPr>
          <w:p>
            <w:r>
              <w:t>所属概念：租售同权，参股360，健康中国，互联网金融，上海金改，共享办公，参股外资金融，蚂蚁金服概念，融资融券，沪股通，转融券标的，PPP概念，特色小镇，足球概念，独角兽概念，旅游，共享经济，寒武纪概念，富时罗素概念，免税店，富时罗素概念股，MSCI概念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