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股票简称：老凤祥</w:t>
            </w:r>
          </w:p>
        </w:tc>
        <w:tc>
          <w:tcPr>
            <w:tcW w:type="dxa" w:w="4320"/>
          </w:tcPr>
          <w:p>
            <w:r>
              <w:t>股票代码：600612</w:t>
            </w:r>
          </w:p>
        </w:tc>
      </w:tr>
      <w:tr>
        <w:tc>
          <w:tcPr>
            <w:tcW w:type="dxa" w:w="4320"/>
          </w:tcPr>
          <w:p>
            <w:r>
              <w:t>涨跌幅：55.91  +0.08/+0.14%</w:t>
            </w:r>
          </w:p>
        </w:tc>
        <w:tc>
          <w:tcPr>
            <w:tcW w:type="dxa" w:w="4320"/>
          </w:tcPr>
          <w:p>
            <w:r>
              <w:t>涨停原因：黄金概念。首板涨停。</w:t>
            </w:r>
          </w:p>
        </w:tc>
      </w:tr>
      <w:tr>
        <w:tc>
          <w:tcPr>
            <w:tcW w:type="dxa" w:w="4320"/>
          </w:tcPr>
          <w:p>
            <w:r>
              <w:t>总股本(股)：5.23亿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总市值(亿元)：221.49</w:t>
            </w:r>
          </w:p>
        </w:tc>
        <w:tc>
          <w:tcPr>
            <w:tcW w:type="dxa" w:w="4320"/>
          </w:tcPr>
          <w:p>
            <w:r>
              <w:t>流通市值(亿元)：177.3</w:t>
            </w:r>
          </w:p>
        </w:tc>
      </w:tr>
      <w:tr>
        <w:tc>
          <w:tcPr>
            <w:tcW w:type="dxa" w:w="4320"/>
          </w:tcPr>
          <w:p>
            <w:r>
              <w:t>市盈率(倍)：19.67</w:t>
            </w:r>
          </w:p>
        </w:tc>
        <w:tc>
          <w:tcPr>
            <w:tcW w:type="dxa" w:w="4320"/>
          </w:tcPr>
          <w:p>
            <w:r>
              <w:t>市净率(倍)：3.96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3.72亿</w:t>
            </w:r>
          </w:p>
        </w:tc>
        <w:tc>
          <w:tcPr>
            <w:tcW w:type="dxa" w:w="2160"/>
          </w:tcPr>
          <w:p>
            <w:r>
              <w:t>-0.56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14.08亿</w:t>
            </w:r>
          </w:p>
        </w:tc>
        <w:tc>
          <w:tcPr>
            <w:tcW w:type="dxa" w:w="2160"/>
          </w:tcPr>
          <w:p>
            <w:r>
              <w:t>16.89</w:t>
            </w:r>
          </w:p>
        </w:tc>
        <w:tc>
          <w:tcPr>
            <w:tcW w:type="dxa" w:w="2160"/>
          </w:tcPr>
          <w:p>
            <w:r>
              <w:t>2.69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11.66亿</w:t>
            </w:r>
          </w:p>
        </w:tc>
        <w:tc>
          <w:tcPr>
            <w:tcW w:type="dxa" w:w="2160"/>
          </w:tcPr>
          <w:p>
            <w:r>
              <w:t>18.01</w:t>
            </w:r>
          </w:p>
        </w:tc>
        <w:tc>
          <w:tcPr>
            <w:tcW w:type="dxa" w:w="2160"/>
          </w:tcPr>
          <w:p>
            <w:r>
              <w:t>2.23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珠宝首饰，黄金交易，工艺品销售，商贸，工艺品，金饰品，笔类，世博，上海国资改革，黄金珠宝类，玉石，金银饰品，黄金饰品，黄金首饰，黄金珠宝饰品，铅笔，珠宝，金银珠宝，黄金珠宝，奢侈品，物业管理，化工原料，拍卖</w:t>
            </w:r>
          </w:p>
        </w:tc>
      </w:tr>
      <w:tr>
        <w:tc>
          <w:tcPr>
            <w:tcW w:type="dxa" w:w="8640"/>
          </w:tcPr>
          <w:p>
            <w:r>
              <w:t>所属概念：黄金租赁，象牙加工销售，奢侈品，老字号，融资融券，沪股通，转融券标的，翡翠，小金属概念，黄金概念，上海国资改革，地方国资改革，富时罗素概念，富时罗素概念股，标普道琼斯A股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