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股票简称：豫园股份</w:t>
            </w:r>
          </w:p>
        </w:tc>
        <w:tc>
          <w:tcPr>
            <w:tcW w:type="dxa" w:w="4320"/>
          </w:tcPr>
          <w:p>
            <w:r>
              <w:t>股票代码：600655</w:t>
            </w:r>
          </w:p>
        </w:tc>
      </w:tr>
      <w:tr>
        <w:tc>
          <w:tcPr>
            <w:tcW w:type="dxa" w:w="4320"/>
          </w:tcPr>
          <w:p>
            <w:r>
              <w:t>涨跌幅：9.83  +0.02/+0.20%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总股本(股)：38.84亿</w:t>
            </w:r>
          </w:p>
        </w:tc>
        <w:tc>
          <w:tcPr>
            <w:tcW w:type="dxa" w:w="4320"/>
          </w:tcPr>
          <w:p>
            <w:r>
              <w:t>流通比例(%)：41.27</w:t>
            </w:r>
          </w:p>
        </w:tc>
      </w:tr>
      <w:tr>
        <w:tc>
          <w:tcPr>
            <w:tcW w:type="dxa" w:w="4320"/>
          </w:tcPr>
          <w:p>
            <w:r>
              <w:t>总市值(亿元)：381.77</w:t>
            </w:r>
          </w:p>
        </w:tc>
        <w:tc>
          <w:tcPr>
            <w:tcW w:type="dxa" w:w="4320"/>
          </w:tcPr>
          <w:p>
            <w:r>
              <w:t>流通市值(亿元)：157.57</w:t>
            </w:r>
          </w:p>
        </w:tc>
      </w:tr>
      <w:tr>
        <w:tc>
          <w:tcPr>
            <w:tcW w:type="dxa" w:w="4320"/>
          </w:tcPr>
          <w:p>
            <w:r>
              <w:t>市盈率(倍)：29.35</w:t>
            </w:r>
          </w:p>
        </w:tc>
        <w:tc>
          <w:tcPr>
            <w:tcW w:type="dxa" w:w="4320"/>
          </w:tcPr>
          <w:p>
            <w:r>
              <w:t>市净率(倍)：1.21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3.25亿</w:t>
            </w:r>
          </w:p>
        </w:tc>
        <w:tc>
          <w:tcPr>
            <w:tcW w:type="dxa" w:w="2160"/>
          </w:tcPr>
          <w:p>
            <w:r>
              <w:t>-19.10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32.08亿</w:t>
            </w:r>
          </w:p>
        </w:tc>
        <w:tc>
          <w:tcPr>
            <w:tcW w:type="dxa" w:w="2160"/>
          </w:tcPr>
          <w:p>
            <w:r>
              <w:t>5.79</w:t>
            </w:r>
          </w:p>
        </w:tc>
        <w:tc>
          <w:tcPr>
            <w:tcW w:type="dxa" w:w="2160"/>
          </w:tcPr>
          <w:p>
            <w:r>
              <w:t>0.83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12.39亿</w:t>
            </w:r>
          </w:p>
        </w:tc>
        <w:tc>
          <w:tcPr>
            <w:tcW w:type="dxa" w:w="2160"/>
          </w:tcPr>
          <w:p>
            <w:r>
              <w:t>9.02</w:t>
            </w:r>
          </w:p>
        </w:tc>
        <w:tc>
          <w:tcPr>
            <w:tcW w:type="dxa" w:w="2160"/>
          </w:tcPr>
          <w:p>
            <w:r>
              <w:t>0.32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主营产品名称：餐饮，食品，进出口，医药，工艺品，房产，百货及服务，黄金珠宝，金矿，金条，旅游，旅行社，度假村，百货，珠宝时尚，餐饮管理与服务，百货及工艺品销售，其他经营管理服务</w:t>
            </w:r>
          </w:p>
        </w:tc>
      </w:tr>
      <w:tr>
        <w:tc>
          <w:tcPr>
            <w:tcW w:type="dxa" w:w="8640"/>
          </w:tcPr>
          <w:p>
            <w:r>
              <w:t>所属概念：老字号，黄金租赁，互联网平台，老八股，融资融券，沪股通，转融券标的，翡翠，小金属概念，黄金概念，蚂蚁金服概念，新零售，冰雪产业，体育产业，富时罗素概念，富时罗素概念股，大消费，MSCI概念，标普道琼斯A股，迪士尼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