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股票简称：长盈精密</w:t>
            </w:r>
          </w:p>
        </w:tc>
        <w:tc>
          <w:tcPr>
            <w:tcW w:type="dxa" w:w="4320"/>
          </w:tcPr>
          <w:p>
            <w:r>
              <w:t>股票代码：300115</w:t>
            </w:r>
          </w:p>
        </w:tc>
      </w:tr>
      <w:tr>
        <w:tc>
          <w:tcPr>
            <w:tcW w:type="dxa" w:w="4320"/>
          </w:tcPr>
          <w:p>
            <w:r>
              <w:t>涨跌幅：22.37  +0.30/+1.36%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总股本(股)：9.10亿</w:t>
            </w:r>
          </w:p>
        </w:tc>
        <w:tc>
          <w:tcPr>
            <w:tcW w:type="dxa" w:w="4320"/>
          </w:tcPr>
          <w:p>
            <w:r>
              <w:t>流通比例(%)：99.52</w:t>
            </w:r>
          </w:p>
        </w:tc>
      </w:tr>
      <w:tr>
        <w:tc>
          <w:tcPr>
            <w:tcW w:type="dxa" w:w="4320"/>
          </w:tcPr>
          <w:p>
            <w:r>
              <w:t>总市值(亿元)：203.54</w:t>
            </w:r>
          </w:p>
        </w:tc>
        <w:tc>
          <w:tcPr>
            <w:tcW w:type="dxa" w:w="4320"/>
          </w:tcPr>
          <w:p>
            <w:r>
              <w:t>流通市值(亿元)：202.57</w:t>
            </w:r>
          </w:p>
        </w:tc>
      </w:tr>
      <w:tr>
        <w:tc>
          <w:tcPr>
            <w:tcW w:type="dxa" w:w="4320"/>
          </w:tcPr>
          <w:p>
            <w:r>
              <w:t>市盈率(倍)：61.42</w:t>
            </w:r>
          </w:p>
        </w:tc>
        <w:tc>
          <w:tcPr>
            <w:tcW w:type="dxa" w:w="4320"/>
          </w:tcPr>
          <w:p>
            <w:r>
              <w:t>市净率(倍)：4.69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8,284.36万</w:t>
            </w:r>
          </w:p>
        </w:tc>
        <w:tc>
          <w:tcPr>
            <w:tcW w:type="dxa" w:w="2160"/>
          </w:tcPr>
          <w:p>
            <w:r>
              <w:t>91.54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8,382.38万</w:t>
            </w:r>
          </w:p>
        </w:tc>
        <w:tc>
          <w:tcPr>
            <w:tcW w:type="dxa" w:w="2160"/>
          </w:tcPr>
          <w:p>
            <w:r>
              <w:t>117.92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1.88亿</w:t>
            </w:r>
          </w:p>
        </w:tc>
        <w:tc>
          <w:tcPr>
            <w:tcW w:type="dxa" w:w="2160"/>
          </w:tcPr>
          <w:p>
            <w:r>
              <w:t>6.27</w:t>
            </w:r>
          </w:p>
        </w:tc>
        <w:tc>
          <w:tcPr>
            <w:tcW w:type="dxa" w:w="2160"/>
          </w:tcPr>
          <w:p>
            <w:r>
              <w:t>0.21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手机及无线上网卡电磁屏蔽件，手机及移动通信终端金属结构(外观)件，led精密封装支架，手机滑轨，精密连接器，精密型电磁屏蔽件，手机及通讯产品连接器，精密封装支架，手机精密件，精密电子，精密电子零组件，电子器件，金属边框，结构件，移动通信业务，智能手机配件，精密结构件，手机金属外观件，精密零组件，低价智能手机，低端智能机，手机连接器，金属结构，屏蔽件，外观结构件，智能机，金属件，智能手机，手机精密零组件，高端连接器，中低端智能机，金属结构件，精密制造，铝合金机壳，高端智能手机，连接器，智能电视，金属机壳，外观件，智能移动设备，智能装备，金属构件，机壳，智能手机新品，金属外观件，自动化设备，芯片，金属外壳，半导体芯片，手机零配件，电子元器件，硅胶结构类产品，消费类电子超精密零件及模组，精密连接器及电子模组，新能源汽车电连接系统及控制模组，机器人及工业互联网，芯片及芯片封装支架，消费类电子精密结构件，电子模组，电子连接器，智能电子产品精密小件</w:t>
            </w:r>
          </w:p>
        </w:tc>
      </w:tr>
      <w:tr>
        <w:tc>
          <w:tcPr>
            <w:tcW w:type="dxa" w:w="8640"/>
          </w:tcPr>
          <w:p>
            <w:r>
              <w:t>所属概念：智能穿戴，三星，智能终端，WIN升级，苹果概念，小米概念，融资融券，深股通，5G，转融券标的，工业机器人，工业4.0，机器人概念，芯片设计，芯片概念，消费电子，燃料电池，宁德时代概念，华为概念，独角兽概念，特斯拉，无线耳机，口罩，富时罗素概念，电子烟，富时罗素概念股，新能源汽车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