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股票简称：陆家嘴</w:t>
            </w:r>
          </w:p>
        </w:tc>
        <w:tc>
          <w:tcPr>
            <w:tcW w:type="dxa" w:w="4320"/>
          </w:tcPr>
          <w:p>
            <w:r>
              <w:t>股票代码：600663</w:t>
            </w:r>
          </w:p>
        </w:tc>
      </w:tr>
      <w:tr>
        <w:tc>
          <w:tcPr>
            <w:tcW w:type="dxa" w:w="4320"/>
          </w:tcPr>
          <w:p>
            <w:r>
              <w:t>涨跌幅：12.57  +0.14/+1.13%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总股本(股)：40.34亿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总市值(亿元)：432.83</w:t>
            </w:r>
          </w:p>
        </w:tc>
        <w:tc>
          <w:tcPr>
            <w:tcW w:type="dxa" w:w="4320"/>
          </w:tcPr>
          <w:p>
            <w:r>
              <w:t>流通市值(亿元)：368.74</w:t>
            </w:r>
          </w:p>
        </w:tc>
      </w:tr>
      <w:tr>
        <w:tc>
          <w:tcPr>
            <w:tcW w:type="dxa" w:w="4320"/>
          </w:tcPr>
          <w:p>
            <w:r>
              <w:t>市盈率(倍)：15.11</w:t>
            </w:r>
          </w:p>
        </w:tc>
        <w:tc>
          <w:tcPr>
            <w:tcW w:type="dxa" w:w="4320"/>
          </w:tcPr>
          <w:p>
            <w:r>
              <w:t>市净率(倍)：2.83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16.78亿</w:t>
            </w:r>
          </w:p>
        </w:tc>
        <w:tc>
          <w:tcPr>
            <w:tcW w:type="dxa" w:w="2160"/>
          </w:tcPr>
          <w:p>
            <w:r>
              <w:t>-18.01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7.61亿</w:t>
            </w:r>
          </w:p>
        </w:tc>
        <w:tc>
          <w:tcPr>
            <w:tcW w:type="dxa" w:w="2160"/>
          </w:tcPr>
          <w:p>
            <w:r>
              <w:t>-12.70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36.77亿</w:t>
            </w:r>
          </w:p>
        </w:tc>
        <w:tc>
          <w:tcPr>
            <w:tcW w:type="dxa" w:w="2160"/>
          </w:tcPr>
          <w:p>
            <w:r>
              <w:t>9.76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24.95亿</w:t>
            </w:r>
          </w:p>
        </w:tc>
        <w:tc>
          <w:tcPr>
            <w:tcW w:type="dxa" w:w="2160"/>
          </w:tcPr>
          <w:p>
            <w:r>
              <w:t>16.08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主营产品名称：动迁房转让，房地产租赁，酒店业，物业管理，花园，商业地产，明城大酒店，房地产，房产销售，物业，租赁业务，商业地产租赁业务，物业出租，金融业，房地产销售，投资性房地产转让</w:t>
            </w:r>
          </w:p>
        </w:tc>
      </w:tr>
      <w:tr>
        <w:tc>
          <w:tcPr>
            <w:tcW w:type="dxa" w:w="8640"/>
          </w:tcPr>
          <w:p>
            <w:r>
              <w:t>所属概念：B转H，上海金改，参股券商，浦东前滩，浦东新区，民营金融，融资融券，沪股通，转融券标的，创投，上海自贸区，上海国资改革，地方国资改革，富时罗素概念，富时罗素概念股，证金持股，迪士尼，标普道琼斯A股，机构重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