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股票简称：青岛金王</w:t>
            </w:r>
          </w:p>
        </w:tc>
        <w:tc>
          <w:tcPr>
            <w:tcW w:type="dxa" w:w="4320"/>
          </w:tcPr>
          <w:p>
            <w:r>
              <w:t>股票代码：002094</w:t>
            </w:r>
          </w:p>
        </w:tc>
      </w:tr>
      <w:tr>
        <w:tc>
          <w:tcPr>
            <w:tcW w:type="dxa" w:w="4320"/>
          </w:tcPr>
          <w:p>
            <w:r>
              <w:t>涨跌幅：4.75  -0.07/-1.45%</w:t>
            </w:r>
          </w:p>
        </w:tc>
        <w:tc>
          <w:tcPr>
            <w:tcW w:type="dxa" w:w="4320"/>
          </w:tcPr>
          <w:p>
            <w:r>
              <w:t>涨停原因：新零售。首板涨停。</w:t>
            </w:r>
          </w:p>
        </w:tc>
      </w:tr>
      <w:tr>
        <w:tc>
          <w:tcPr>
            <w:tcW w:type="dxa" w:w="4320"/>
          </w:tcPr>
          <w:p>
            <w:r>
              <w:t>总股本(股)：6.91亿</w:t>
            </w:r>
          </w:p>
        </w:tc>
        <w:tc>
          <w:tcPr>
            <w:tcW w:type="dxa" w:w="4320"/>
          </w:tcPr>
          <w:p>
            <w:r>
              <w:t>流通比例(%)：99.94</w:t>
            </w:r>
          </w:p>
        </w:tc>
      </w:tr>
      <w:tr>
        <w:tc>
          <w:tcPr>
            <w:tcW w:type="dxa" w:w="4320"/>
          </w:tcPr>
          <w:p>
            <w:r>
              <w:t>总市值(亿元)：32.82</w:t>
            </w:r>
          </w:p>
        </w:tc>
        <w:tc>
          <w:tcPr>
            <w:tcW w:type="dxa" w:w="4320"/>
          </w:tcPr>
          <w:p>
            <w:r>
              <w:t>流通市值(亿元)：32.8</w:t>
            </w:r>
          </w:p>
        </w:tc>
      </w:tr>
      <w:tr>
        <w:tc>
          <w:tcPr>
            <w:tcW w:type="dxa" w:w="4320"/>
          </w:tcPr>
          <w:p>
            <w:r>
              <w:t>市盈率(倍)：-42.69</w:t>
            </w:r>
          </w:p>
        </w:tc>
        <w:tc>
          <w:tcPr>
            <w:tcW w:type="dxa" w:w="4320"/>
          </w:tcPr>
          <w:p>
            <w:r>
              <w:t>市净率(倍)：1.15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-1,922.08万</w:t>
            </w:r>
          </w:p>
        </w:tc>
        <w:tc>
          <w:tcPr>
            <w:tcW w:type="dxa" w:w="2160"/>
          </w:tcPr>
          <w:p>
            <w:r>
              <w:t>-170.85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2,117.10万</w:t>
            </w:r>
          </w:p>
        </w:tc>
        <w:tc>
          <w:tcPr>
            <w:tcW w:type="dxa" w:w="2160"/>
          </w:tcPr>
          <w:p>
            <w:r>
              <w:t>-79.73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2.99亿</w:t>
            </w:r>
          </w:p>
        </w:tc>
        <w:tc>
          <w:tcPr>
            <w:tcW w:type="dxa" w:w="2160"/>
          </w:tcPr>
          <w:p>
            <w:r>
              <w:t>84.06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日用蜡烛制品，工艺玻璃系列制品，其他工艺品，新型聚合物基质复合体烛光材料系列产品，新材料蜡烛及工艺品，工艺品，油品贸易，化妆品电商，电子商务，化妆品，原油，新材料蜡烛及工艺品等，油品贸易等，新材料蜡烛</w:t>
            </w:r>
          </w:p>
        </w:tc>
      </w:tr>
      <w:tr>
        <w:tc>
          <w:tcPr>
            <w:tcW w:type="dxa" w:w="8640"/>
          </w:tcPr>
          <w:p>
            <w:r>
              <w:t>所属概念：中韩自贸区，青岛自贸区，她经济，外贸，阿里巴巴概念，化妆护肤品，新零售，网红经济，商品新零售，C2M概念，腾讯概念，富时罗素概念股，电子商务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