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股票简称：麦达数字</w:t>
            </w:r>
          </w:p>
        </w:tc>
        <w:tc>
          <w:tcPr>
            <w:tcW w:type="dxa" w:w="4320"/>
          </w:tcPr>
          <w:p>
            <w:r>
              <w:t>股票代码：002137</w:t>
            </w:r>
          </w:p>
        </w:tc>
      </w:tr>
      <w:tr>
        <w:tc>
          <w:tcPr>
            <w:tcW w:type="dxa" w:w="4320"/>
          </w:tcPr>
          <w:p>
            <w:r>
              <w:t>涨跌幅：8.83  +0.11/+1.26%</w:t>
            </w:r>
          </w:p>
        </w:tc>
        <w:tc>
          <w:tcPr>
            <w:tcW w:type="dxa" w:w="4320"/>
          </w:tcPr>
          <w:p>
            <w:r>
              <w:t>涨停原因：今日头条概念。首板涨停。</w:t>
            </w:r>
          </w:p>
        </w:tc>
      </w:tr>
      <w:tr>
        <w:tc>
          <w:tcPr>
            <w:tcW w:type="dxa" w:w="4320"/>
          </w:tcPr>
          <w:p>
            <w:r>
              <w:t>总股本(股)：5.78亿</w:t>
            </w:r>
          </w:p>
        </w:tc>
        <w:tc>
          <w:tcPr>
            <w:tcW w:type="dxa" w:w="4320"/>
          </w:tcPr>
          <w:p>
            <w:r>
              <w:t>流通比例(%)：63.18</w:t>
            </w:r>
          </w:p>
        </w:tc>
      </w:tr>
      <w:tr>
        <w:tc>
          <w:tcPr>
            <w:tcW w:type="dxa" w:w="4320"/>
          </w:tcPr>
          <w:p>
            <w:r>
              <w:t>总市值(亿元)：50.99</w:t>
            </w:r>
          </w:p>
        </w:tc>
        <w:tc>
          <w:tcPr>
            <w:tcW w:type="dxa" w:w="4320"/>
          </w:tcPr>
          <w:p>
            <w:r>
              <w:t>流通市值(亿元)：32.22</w:t>
            </w:r>
          </w:p>
        </w:tc>
      </w:tr>
      <w:tr>
        <w:tc>
          <w:tcPr>
            <w:tcW w:type="dxa" w:w="4320"/>
          </w:tcPr>
          <w:p>
            <w:r>
              <w:t>市盈率(倍)：59.57</w:t>
            </w:r>
          </w:p>
        </w:tc>
        <w:tc>
          <w:tcPr>
            <w:tcW w:type="dxa" w:w="4320"/>
          </w:tcPr>
          <w:p>
            <w:r>
              <w:t>市净率(倍)：3.52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2,139.99万</w:t>
            </w:r>
          </w:p>
        </w:tc>
        <w:tc>
          <w:tcPr>
            <w:tcW w:type="dxa" w:w="2160"/>
          </w:tcPr>
          <w:p>
            <w:r>
              <w:t>-60.65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8,705.28万</w:t>
            </w:r>
          </w:p>
        </w:tc>
        <w:tc>
          <w:tcPr>
            <w:tcW w:type="dxa" w:w="2160"/>
          </w:tcPr>
          <w:p>
            <w:r>
              <w:t>123.74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1.36亿</w:t>
            </w:r>
          </w:p>
        </w:tc>
        <w:tc>
          <w:tcPr>
            <w:tcW w:type="dxa" w:w="2160"/>
          </w:tcPr>
          <w:p>
            <w:r>
              <w:t>76.04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子镇流器，led照明光源及灯具，照明驱动电源，机顶盒，微型投影仪，mp4，贴装后的pcba控制板，影院，照明，家庭影院，消费类电子，led照明产品，互联网数字营销，互联网媒体全案营销，创意策略服务，互联网整合营销服务，社会化媒体营销服务，crm服务，广告制作服务，led照明光源产品，led照明灯具产品，led照明其他产品，电子产品的pcba板，电子产品整机装配，营销saas产品，led照明业务，智能硬件制造，智能设备制造，智慧营销服务</w:t>
            </w:r>
          </w:p>
        </w:tc>
      </w:tr>
      <w:tr>
        <w:tc>
          <w:tcPr>
            <w:tcW w:type="dxa" w:w="8640"/>
          </w:tcPr>
          <w:p>
            <w:r>
              <w:t>所属概念：文化传媒，微信小程序，SAAS，节能照明，广告营销，数字营销，独角兽概念，物联网，小米概念，金融科技，区块链，网红经济，5G，智能穿戴，华为概念，今日头条概念，消费电子，无线耳机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