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股票简称：ST人乐</w:t>
            </w:r>
          </w:p>
        </w:tc>
        <w:tc>
          <w:tcPr>
            <w:tcW w:type="dxa" w:w="4320"/>
          </w:tcPr>
          <w:p>
            <w:r>
              <w:t>股票代码：002336</w:t>
            </w:r>
          </w:p>
        </w:tc>
      </w:tr>
      <w:tr>
        <w:tc>
          <w:tcPr>
            <w:tcW w:type="dxa" w:w="4320"/>
          </w:tcPr>
          <w:p>
            <w:r>
              <w:t>涨跌幅：5.32  +0.04/+0.76%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总股本(股)：4.40亿</w:t>
            </w:r>
          </w:p>
        </w:tc>
        <w:tc>
          <w:tcPr>
            <w:tcW w:type="dxa" w:w="4320"/>
          </w:tcPr>
          <w:p>
            <w:r>
              <w:t>流通比例(%)：84.81</w:t>
            </w:r>
          </w:p>
        </w:tc>
      </w:tr>
      <w:tr>
        <w:tc>
          <w:tcPr>
            <w:tcW w:type="dxa" w:w="4320"/>
          </w:tcPr>
          <w:p>
            <w:r>
              <w:t>总市值(亿元)：23.41</w:t>
            </w:r>
          </w:p>
        </w:tc>
        <w:tc>
          <w:tcPr>
            <w:tcW w:type="dxa" w:w="4320"/>
          </w:tcPr>
          <w:p>
            <w:r>
              <w:t>流通市值(亿元)：19.85</w:t>
            </w:r>
          </w:p>
        </w:tc>
      </w:tr>
      <w:tr>
        <w:tc>
          <w:tcPr>
            <w:tcW w:type="dxa" w:w="4320"/>
          </w:tcPr>
          <w:p>
            <w:r>
              <w:t>市盈率(倍)：26.03</w:t>
            </w:r>
          </w:p>
        </w:tc>
        <w:tc>
          <w:tcPr>
            <w:tcW w:type="dxa" w:w="4320"/>
          </w:tcPr>
          <w:p>
            <w:r>
              <w:t>市净率(倍)：1.61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2,248.39万</w:t>
            </w:r>
          </w:p>
        </w:tc>
        <w:tc>
          <w:tcPr>
            <w:tcW w:type="dxa" w:w="2160"/>
          </w:tcPr>
          <w:p>
            <w:r>
              <w:t>-32.18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3,804.48万</w:t>
            </w:r>
          </w:p>
        </w:tc>
        <w:tc>
          <w:tcPr>
            <w:tcW w:type="dxa" w:w="2160"/>
          </w:tcPr>
          <w:p>
            <w:r>
              <w:t>110.72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-1.09亿</w:t>
            </w:r>
          </w:p>
        </w:tc>
        <w:tc>
          <w:tcPr>
            <w:tcW w:type="dxa" w:w="2160"/>
          </w:tcPr>
          <w:p>
            <w:r>
              <w:t>-946.76</w:t>
            </w:r>
          </w:p>
        </w:tc>
        <w:tc>
          <w:tcPr>
            <w:tcW w:type="dxa" w:w="2160"/>
          </w:tcPr>
          <w:p>
            <w:r>
              <w:t>-0.25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主营产品名称：生鲜，洗化，家电，针纺，日杂文体，百货专柜，大卖场，商品零售，食品，连锁超市，超市业务，超市，物业，百货，综合超市，浓缩型卖场，社区生活超市，百货及购物中心，针纺日杂文体</w:t>
            </w:r>
          </w:p>
        </w:tc>
      </w:tr>
      <w:tr>
        <w:tc>
          <w:tcPr>
            <w:tcW w:type="dxa" w:w="8640"/>
          </w:tcPr>
          <w:p>
            <w:r>
              <w:t>所属概念：广东自贸区，跨境电商，电子商务，ST板块，新零售，地方国资改革，室外经济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