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股票简称：上海贝岭</w:t>
            </w:r>
          </w:p>
        </w:tc>
        <w:tc>
          <w:tcPr>
            <w:tcW w:type="dxa" w:w="4320"/>
          </w:tcPr>
          <w:p>
            <w:r>
              <w:t>股票代码：600171</w:t>
            </w:r>
          </w:p>
        </w:tc>
      </w:tr>
      <w:tr>
        <w:tc>
          <w:tcPr>
            <w:tcW w:type="dxa" w:w="4320"/>
          </w:tcPr>
          <w:p>
            <w:r>
              <w:t>涨跌幅：18.46  +0.39/+2.16%</w:t>
            </w:r>
          </w:p>
        </w:tc>
        <w:tc>
          <w:tcPr>
            <w:tcW w:type="dxa" w:w="4320"/>
          </w:tcPr>
          <w:p>
            <w:r>
              <w:t>涨停原因：收购+集成电路概念。首板涨停。</w:t>
            </w:r>
          </w:p>
        </w:tc>
      </w:tr>
      <w:tr>
        <w:tc>
          <w:tcPr>
            <w:tcW w:type="dxa" w:w="4320"/>
          </w:tcPr>
          <w:p>
            <w:r>
              <w:t>总股本(股)：7.04亿</w:t>
            </w:r>
          </w:p>
        </w:tc>
        <w:tc>
          <w:tcPr>
            <w:tcW w:type="dxa" w:w="4320"/>
          </w:tcPr>
          <w:p>
            <w:r>
              <w:t>流通比例(%)：95.69</w:t>
            </w:r>
          </w:p>
        </w:tc>
      </w:tr>
      <w:tr>
        <w:tc>
          <w:tcPr>
            <w:tcW w:type="dxa" w:w="4320"/>
          </w:tcPr>
          <w:p>
            <w:r>
              <w:t>总市值(亿元)：129.98</w:t>
            </w:r>
          </w:p>
        </w:tc>
        <w:tc>
          <w:tcPr>
            <w:tcW w:type="dxa" w:w="4320"/>
          </w:tcPr>
          <w:p>
            <w:r>
              <w:t>流通市值(亿元)：124.38</w:t>
            </w:r>
          </w:p>
        </w:tc>
      </w:tr>
      <w:tr>
        <w:tc>
          <w:tcPr>
            <w:tcW w:type="dxa" w:w="4320"/>
          </w:tcPr>
          <w:p>
            <w:r>
              <w:t>市盈率(倍)：84.15</w:t>
            </w:r>
          </w:p>
        </w:tc>
        <w:tc>
          <w:tcPr>
            <w:tcW w:type="dxa" w:w="4320"/>
          </w:tcPr>
          <w:p>
            <w:r>
              <w:t>市净率(倍)：4.21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3,861.65万</w:t>
            </w:r>
          </w:p>
        </w:tc>
        <w:tc>
          <w:tcPr>
            <w:tcW w:type="dxa" w:w="2160"/>
          </w:tcPr>
          <w:p>
            <w:r>
              <w:t>-61.25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2.41亿</w:t>
            </w:r>
          </w:p>
        </w:tc>
        <w:tc>
          <w:tcPr>
            <w:tcW w:type="dxa" w:w="2160"/>
          </w:tcPr>
          <w:p>
            <w:r>
              <w:t>65.94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1.71亿</w:t>
            </w:r>
          </w:p>
        </w:tc>
        <w:tc>
          <w:tcPr>
            <w:tcW w:type="dxa" w:w="2160"/>
          </w:tcPr>
          <w:p>
            <w:r>
              <w:t>73.62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消费类电路(电子电度表电路、音频视频遥控类电路、金卡电路、电话机电路)，硅片加工及技术开发服务，消费类电路，通讯类大规模集成clsi电路，智能电表芯片，芯片，电源管理，集成电路产品，电源管理产品，通用模拟产品，智能计量产品，集成电路贸易，rfid，系统集成，测试加工，计量，soc，通用模拟，非挥发存储器，高速高精度adc，计量及soc，工控半导体</w:t>
            </w:r>
          </w:p>
        </w:tc>
      </w:tr>
      <w:tr>
        <w:tc>
          <w:tcPr>
            <w:tcW w:type="dxa" w:w="8640"/>
          </w:tcPr>
          <w:p>
            <w:r>
              <w:t>所属概念：指纹技术，参股新三板，电子标签，智能电网，全息手机，超级计算机，央企控股，融资融券，沪股通，转融券标的，芯片设计，芯片概念，物联网感知层，集成电路概念，物联网，央企国资改革，华为概念，富时罗素概念，无线耳机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