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股票简称：世联行</w:t>
            </w:r>
          </w:p>
        </w:tc>
        <w:tc>
          <w:tcPr>
            <w:tcW w:type="dxa" w:w="4320"/>
          </w:tcPr>
          <w:p>
            <w:r>
              <w:t>股票代码：002285</w:t>
            </w:r>
          </w:p>
        </w:tc>
      </w:tr>
      <w:tr>
        <w:tc>
          <w:tcPr>
            <w:tcW w:type="dxa" w:w="4320"/>
          </w:tcPr>
          <w:p>
            <w:r>
              <w:t>涨跌幅：4.46  +0.01/+0.23%</w:t>
            </w:r>
          </w:p>
        </w:tc>
        <w:tc>
          <w:tcPr>
            <w:tcW w:type="dxa" w:w="4320"/>
          </w:tcPr>
          <w:p>
            <w:r>
              <w:t>涨停原因：控制权变更预期。2天2板。</w:t>
            </w:r>
          </w:p>
        </w:tc>
      </w:tr>
      <w:tr>
        <w:tc>
          <w:tcPr>
            <w:tcW w:type="dxa" w:w="4320"/>
          </w:tcPr>
          <w:p>
            <w:r>
              <w:t>总股本(股)：20.38亿</w:t>
            </w:r>
          </w:p>
        </w:tc>
        <w:tc>
          <w:tcPr>
            <w:tcW w:type="dxa" w:w="4320"/>
          </w:tcPr>
          <w:p>
            <w:r>
              <w:t>流通比例(%)：98.86</w:t>
            </w:r>
          </w:p>
        </w:tc>
      </w:tr>
      <w:tr>
        <w:tc>
          <w:tcPr>
            <w:tcW w:type="dxa" w:w="4320"/>
          </w:tcPr>
          <w:p>
            <w:r>
              <w:t>总市值(亿元)：90.88</w:t>
            </w:r>
          </w:p>
        </w:tc>
        <w:tc>
          <w:tcPr>
            <w:tcW w:type="dxa" w:w="4320"/>
          </w:tcPr>
          <w:p>
            <w:r>
              <w:t>流通市值(亿元)：89.85</w:t>
            </w:r>
          </w:p>
        </w:tc>
      </w:tr>
      <w:tr>
        <w:tc>
          <w:tcPr>
            <w:tcW w:type="dxa" w:w="4320"/>
          </w:tcPr>
          <w:p>
            <w:r>
              <w:t>市盈率(倍)：-13.92</w:t>
            </w:r>
          </w:p>
        </w:tc>
        <w:tc>
          <w:tcPr>
            <w:tcW w:type="dxa" w:w="4320"/>
          </w:tcPr>
          <w:p>
            <w:r>
              <w:t>市净率(倍)：1.76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-1.63亿</w:t>
            </w:r>
          </w:p>
        </w:tc>
        <w:tc>
          <w:tcPr>
            <w:tcW w:type="dxa" w:w="2160"/>
          </w:tcPr>
          <w:p>
            <w:r>
              <w:t>-562.10</w:t>
            </w:r>
          </w:p>
        </w:tc>
        <w:tc>
          <w:tcPr>
            <w:tcW w:type="dxa" w:w="2160"/>
          </w:tcPr>
          <w:p>
            <w:r>
              <w:t>-0.08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8,194.23万</w:t>
            </w:r>
          </w:p>
        </w:tc>
        <w:tc>
          <w:tcPr>
            <w:tcW w:type="dxa" w:w="2160"/>
          </w:tcPr>
          <w:p>
            <w:r>
              <w:t>-80.29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6,578.72万</w:t>
            </w:r>
          </w:p>
        </w:tc>
        <w:tc>
          <w:tcPr>
            <w:tcW w:type="dxa" w:w="2160"/>
          </w:tcPr>
          <w:p>
            <w:r>
              <w:t>-82.48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顾问策划，资产服务，金融服务，电商业务，经纪业务，顾问策划业务，代理业务，代理销售，房地产销售，金融服务业务，金融业务，物业管理，房地产代理销售，房地产顾问策划，房地产经纪业务，互联网业务，顾问策划资产服务，互联网+业务，代理销售业务，基础物业管理，公寓管理，工商资产运营，其他资产服务，小额贷款，投资管理，现金赎楼，其他金融服务，小样社区，资产运营服务，物业管理服务，装修服务业务，资产投资服务</w:t>
            </w:r>
          </w:p>
        </w:tc>
      </w:tr>
      <w:tr>
        <w:tc>
          <w:tcPr>
            <w:tcW w:type="dxa" w:w="8640"/>
          </w:tcPr>
          <w:p>
            <w:r>
              <w:t>所属概念：养老地产，互联网平台，参股新三板，老龄化，小额再贷款，共享办公，工业用地，租售同权，融资融券，深股通，转融券标的，养老概念，大消费，共享经济，债转股，横琴新区，REITs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