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股票简称：东莞控股</w:t>
            </w:r>
          </w:p>
        </w:tc>
        <w:tc>
          <w:tcPr>
            <w:tcW w:type="dxa" w:w="4320"/>
          </w:tcPr>
          <w:p>
            <w:r>
              <w:t>股票代码：000828</w:t>
            </w:r>
          </w:p>
        </w:tc>
      </w:tr>
      <w:tr>
        <w:tc>
          <w:tcPr>
            <w:tcW w:type="dxa" w:w="4320"/>
          </w:tcPr>
          <w:p>
            <w:r>
              <w:t>涨跌幅：12.22  -1.28/-9.48%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总股本(股)：10.40亿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总市值(亿元)：127.03</w:t>
            </w:r>
          </w:p>
        </w:tc>
        <w:tc>
          <w:tcPr>
            <w:tcW w:type="dxa" w:w="4320"/>
          </w:tcPr>
          <w:p>
            <w:r>
              <w:t>流通市值(亿元)：127.03</w:t>
            </w:r>
          </w:p>
        </w:tc>
      </w:tr>
      <w:tr>
        <w:tc>
          <w:tcPr>
            <w:tcW w:type="dxa" w:w="4320"/>
          </w:tcPr>
          <w:p>
            <w:r>
              <w:t>市盈率(倍)：19.84</w:t>
            </w:r>
          </w:p>
        </w:tc>
        <w:tc>
          <w:tcPr>
            <w:tcW w:type="dxa" w:w="4320"/>
          </w:tcPr>
          <w:p>
            <w:r>
              <w:t>市净率(倍)：1.76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3.20亿</w:t>
            </w:r>
          </w:p>
        </w:tc>
        <w:tc>
          <w:tcPr>
            <w:tcW w:type="dxa" w:w="2160"/>
          </w:tcPr>
          <w:p>
            <w:r>
              <w:t>-42.31</w:t>
            </w:r>
          </w:p>
        </w:tc>
        <w:tc>
          <w:tcPr>
            <w:tcW w:type="dxa" w:w="2160"/>
          </w:tcPr>
          <w:p>
            <w:r>
              <w:t>0.31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1.11亿</w:t>
            </w:r>
          </w:p>
        </w:tc>
        <w:tc>
          <w:tcPr>
            <w:tcW w:type="dxa" w:w="2160"/>
          </w:tcPr>
          <w:p>
            <w:r>
              <w:t>-59.57</w:t>
            </w:r>
          </w:p>
        </w:tc>
        <w:tc>
          <w:tcPr>
            <w:tcW w:type="dxa" w:w="2160"/>
          </w:tcPr>
          <w:p>
            <w:r>
              <w:t>0.11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10.74亿</w:t>
            </w:r>
          </w:p>
        </w:tc>
        <w:tc>
          <w:tcPr>
            <w:tcW w:type="dxa" w:w="2160"/>
          </w:tcPr>
          <w:p>
            <w:r>
              <w:t>2.39</w:t>
            </w:r>
          </w:p>
        </w:tc>
        <w:tc>
          <w:tcPr>
            <w:tcW w:type="dxa" w:w="2160"/>
          </w:tcPr>
          <w:p>
            <w:r>
              <w:t>1.03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8.33亿</w:t>
            </w:r>
          </w:p>
        </w:tc>
        <w:tc>
          <w:tcPr>
            <w:tcW w:type="dxa" w:w="2160"/>
          </w:tcPr>
          <w:p>
            <w:r>
              <w:t>17.27</w:t>
            </w:r>
          </w:p>
        </w:tc>
        <w:tc>
          <w:tcPr>
            <w:tcW w:type="dxa" w:w="2160"/>
          </w:tcPr>
          <w:p>
            <w:r>
              <w:t>0.80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融资租赁服务，交通运输辅助，公路的投资，龙林高速，莞深高速公路，交通通行服务，通行费收入，租赁业务收入，交通运输辅助业，融资租赁业，商业保理业，交通运输辅助业务，商业保理业务</w:t>
            </w:r>
          </w:p>
        </w:tc>
      </w:tr>
      <w:tr>
        <w:tc>
          <w:tcPr>
            <w:tcW w:type="dxa" w:w="8640"/>
          </w:tcPr>
          <w:p>
            <w:r>
              <w:t>所属概念：金改，参股券商，参股新三板，小额再贷款，春运，融资融券，转融券标的，充电桩，信托概念，地方国资改革，广东国资改革，期货概念，富时罗素概念股，标普道琼斯A股，粤港澳大湾区，机构重仓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