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股票简称：亚光科技</w:t>
            </w:r>
          </w:p>
        </w:tc>
        <w:tc>
          <w:tcPr>
            <w:tcW w:type="dxa" w:w="4320"/>
          </w:tcPr>
          <w:p>
            <w:r>
              <w:t>股票代码：300123</w:t>
            </w:r>
          </w:p>
        </w:tc>
      </w:tr>
      <w:tr>
        <w:tc>
          <w:tcPr>
            <w:tcW w:type="dxa" w:w="4320"/>
          </w:tcPr>
          <w:p>
            <w:r>
              <w:t>涨跌幅：21.33  -0.19/-0.88%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总股本(股)：10.08亿</w:t>
            </w:r>
          </w:p>
        </w:tc>
        <w:tc>
          <w:tcPr>
            <w:tcW w:type="dxa" w:w="4320"/>
          </w:tcPr>
          <w:p>
            <w:r>
              <w:t>流通比例(%)：57.38</w:t>
            </w:r>
          </w:p>
        </w:tc>
      </w:tr>
      <w:tr>
        <w:tc>
          <w:tcPr>
            <w:tcW w:type="dxa" w:w="4320"/>
          </w:tcPr>
          <w:p>
            <w:r>
              <w:t>总市值(亿元)：214.93</w:t>
            </w:r>
          </w:p>
        </w:tc>
        <w:tc>
          <w:tcPr>
            <w:tcW w:type="dxa" w:w="4320"/>
          </w:tcPr>
          <w:p>
            <w:r>
              <w:t>流通市值(亿元)：123.33</w:t>
            </w:r>
          </w:p>
        </w:tc>
      </w:tr>
      <w:tr>
        <w:tc>
          <w:tcPr>
            <w:tcW w:type="dxa" w:w="4320"/>
          </w:tcPr>
          <w:p>
            <w:r>
              <w:t>市盈率(倍)：174.61</w:t>
            </w:r>
          </w:p>
        </w:tc>
        <w:tc>
          <w:tcPr>
            <w:tcW w:type="dxa" w:w="4320"/>
          </w:tcPr>
          <w:p>
            <w:r>
              <w:t>市净率(倍)：4.29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3,077.26万</w:t>
            </w:r>
          </w:p>
        </w:tc>
        <w:tc>
          <w:tcPr>
            <w:tcW w:type="dxa" w:w="2160"/>
          </w:tcPr>
          <w:p>
            <w:r>
              <w:t>-23.32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2.80亿</w:t>
            </w:r>
          </w:p>
        </w:tc>
        <w:tc>
          <w:tcPr>
            <w:tcW w:type="dxa" w:w="2160"/>
          </w:tcPr>
          <w:p>
            <w:r>
              <w:t>83.46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1.29亿</w:t>
            </w:r>
          </w:p>
        </w:tc>
        <w:tc>
          <w:tcPr>
            <w:tcW w:type="dxa" w:w="2160"/>
          </w:tcPr>
          <w:p>
            <w:r>
              <w:t>47.29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商务艇，特种艇，冲锋舟，复合材料船艇，私人游艇，复合材料游艇，超级游艇，配套设施，超高速摩托艇，商务游艇，特种船，旅游装备，公务执法艇，玻璃钢船艇或复合材，料船艇，多混船艇，微波二极管，晶体三极管，微波混合集成电路，微波单片集成电路与功能模块组件，微波混合集成电路模块及组件，半导体器件及复合材料，金属材料及多混材料的游艇，氮化镓</w:t>
            </w:r>
          </w:p>
        </w:tc>
      </w:tr>
      <w:tr>
        <w:tc>
          <w:tcPr>
            <w:tcW w:type="dxa" w:w="8640"/>
          </w:tcPr>
          <w:p>
            <w:r>
              <w:t>所属概念：高端装备，军民融合，海洋经济，元器件，芯片概念，游艇，军工，光通信设备，集成电路概念，5G，融资融券，横琴新区，深股通，量子通信，转融券标的，氮化镓，卫星导航，商誉减值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