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股票简称：亚翔集成</w:t>
            </w:r>
          </w:p>
        </w:tc>
        <w:tc>
          <w:tcPr>
            <w:tcW w:type="dxa" w:w="4320"/>
          </w:tcPr>
          <w:p>
            <w:r>
              <w:t>股票代码：603929</w:t>
            </w:r>
          </w:p>
        </w:tc>
      </w:tr>
      <w:tr>
        <w:tc>
          <w:tcPr>
            <w:tcW w:type="dxa" w:w="4320"/>
          </w:tcPr>
          <w:p>
            <w:r>
              <w:t>涨跌幅：16.70  +0.01/+0.06%</w:t>
            </w:r>
          </w:p>
        </w:tc>
        <w:tc>
          <w:tcPr>
            <w:tcW w:type="dxa" w:w="4320"/>
          </w:tcPr>
          <w:p>
            <w:r>
              <w:t>涨停原因：芯片概念。首板涨停。</w:t>
            </w:r>
          </w:p>
        </w:tc>
      </w:tr>
      <w:tr>
        <w:tc>
          <w:tcPr>
            <w:tcW w:type="dxa" w:w="4320"/>
          </w:tcPr>
          <w:p>
            <w:r>
              <w:t>总股本(股)：2.13亿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总市值(亿元)：35.63</w:t>
            </w:r>
          </w:p>
        </w:tc>
        <w:tc>
          <w:tcPr>
            <w:tcW w:type="dxa" w:w="4320"/>
          </w:tcPr>
          <w:p>
            <w:r>
              <w:t>流通市值(亿元)：35.63</w:t>
            </w:r>
          </w:p>
        </w:tc>
      </w:tr>
      <w:tr>
        <w:tc>
          <w:tcPr>
            <w:tcW w:type="dxa" w:w="4320"/>
          </w:tcPr>
          <w:p>
            <w:r>
              <w:t>市盈率(倍)：-1288.51</w:t>
            </w:r>
          </w:p>
        </w:tc>
        <w:tc>
          <w:tcPr>
            <w:tcW w:type="dxa" w:w="4320"/>
          </w:tcPr>
          <w:p>
            <w:r>
              <w:t>市净率(倍)：3.29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-138.27万</w:t>
            </w:r>
          </w:p>
        </w:tc>
        <w:tc>
          <w:tcPr>
            <w:tcW w:type="dxa" w:w="2160"/>
          </w:tcPr>
          <w:p>
            <w:r>
              <w:t>-102.38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-1,214.43万</w:t>
            </w:r>
          </w:p>
        </w:tc>
        <w:tc>
          <w:tcPr>
            <w:tcW w:type="dxa" w:w="2160"/>
          </w:tcPr>
          <w:p>
            <w:r>
              <w:t>-132.24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1.01亿</w:t>
            </w:r>
          </w:p>
        </w:tc>
        <w:tc>
          <w:tcPr>
            <w:tcW w:type="dxa" w:w="2160"/>
          </w:tcPr>
          <w:p>
            <w:r>
              <w:t>-37.13</w:t>
            </w:r>
          </w:p>
        </w:tc>
        <w:tc>
          <w:tcPr>
            <w:tcW w:type="dxa" w:w="2160"/>
          </w:tcPr>
          <w:p>
            <w:r>
              <w:t>0.47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8,695.04万</w:t>
            </w:r>
          </w:p>
        </w:tc>
        <w:tc>
          <w:tcPr>
            <w:tcW w:type="dxa" w:w="2160"/>
          </w:tcPr>
          <w:p>
            <w:r>
              <w:t>-38.29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主营产品名称：洁净技术厂房，工程施工，设备销售</w:t>
            </w:r>
          </w:p>
        </w:tc>
      </w:tr>
      <w:tr>
        <w:tc>
          <w:tcPr>
            <w:tcW w:type="dxa" w:w="8640"/>
          </w:tcPr>
          <w:p>
            <w:r>
              <w:t>所属概念：沪股通，富士康概念，芯片设备，芯片概念，OLED，柔性屏，中芯国际概念，富时罗素概念股，标普道琼斯A股，台湾概念股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