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股票简称：北斗星通</w:t>
            </w:r>
          </w:p>
        </w:tc>
        <w:tc>
          <w:tcPr>
            <w:tcW w:type="dxa" w:w="4320"/>
          </w:tcPr>
          <w:p>
            <w:r>
              <w:t>股票代码：002151</w:t>
            </w:r>
          </w:p>
        </w:tc>
      </w:tr>
      <w:tr>
        <w:tc>
          <w:tcPr>
            <w:tcW w:type="dxa" w:w="4320"/>
          </w:tcPr>
          <w:p>
            <w:r>
              <w:t>涨跌幅：66.00  -1.41/-2.09%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总股本(股)：4.90亿</w:t>
            </w:r>
          </w:p>
        </w:tc>
        <w:tc>
          <w:tcPr>
            <w:tcW w:type="dxa" w:w="4320"/>
          </w:tcPr>
          <w:p>
            <w:r>
              <w:t>流通比例(%)：74.88</w:t>
            </w:r>
          </w:p>
        </w:tc>
      </w:tr>
      <w:tr>
        <w:tc>
          <w:tcPr>
            <w:tcW w:type="dxa" w:w="4320"/>
          </w:tcPr>
          <w:p>
            <w:r>
              <w:t>总市值(亿元)：323.34</w:t>
            </w:r>
          </w:p>
        </w:tc>
        <w:tc>
          <w:tcPr>
            <w:tcW w:type="dxa" w:w="4320"/>
          </w:tcPr>
          <w:p>
            <w:r>
              <w:t>流通市值(亿元)：242.11</w:t>
            </w:r>
          </w:p>
        </w:tc>
      </w:tr>
      <w:tr>
        <w:tc>
          <w:tcPr>
            <w:tcW w:type="dxa" w:w="4320"/>
          </w:tcPr>
          <w:p>
            <w:r>
              <w:t>市盈率(倍)：385.09</w:t>
            </w:r>
          </w:p>
        </w:tc>
        <w:tc>
          <w:tcPr>
            <w:tcW w:type="dxa" w:w="4320"/>
          </w:tcPr>
          <w:p>
            <w:r>
              <w:t>市净率(倍)：9.91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2,099.11万</w:t>
            </w:r>
          </w:p>
        </w:tc>
        <w:tc>
          <w:tcPr>
            <w:tcW w:type="dxa" w:w="2160"/>
          </w:tcPr>
          <w:p>
            <w:r>
              <w:t>225.92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-6.51亿</w:t>
            </w:r>
          </w:p>
        </w:tc>
        <w:tc>
          <w:tcPr>
            <w:tcW w:type="dxa" w:w="2160"/>
          </w:tcPr>
          <w:p>
            <w:r>
              <w:t>-710.59</w:t>
            </w:r>
          </w:p>
        </w:tc>
        <w:tc>
          <w:tcPr>
            <w:tcW w:type="dxa" w:w="2160"/>
          </w:tcPr>
          <w:p>
            <w:r>
              <w:t>-1.31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285.45万</w:t>
            </w:r>
          </w:p>
        </w:tc>
        <w:tc>
          <w:tcPr>
            <w:tcW w:type="dxa" w:w="2160"/>
          </w:tcPr>
          <w:p>
            <w:r>
              <w:t>-94.68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基于位置的信息系统应用，基于位置的运营服务，导航定位产品，产导航定位产品，卫星导航，电子导航，北斗，北斗导航，北斗卫星导航，导航终端，北斗芯片，北斗导航业务，芯片，导航产品，导航，导航芯片，地图，导航定位产品业务，基于位置的系统应用，卫星导航定位产品及其他导航产品，汽车电子与工程服务，国防装备业务，基于位置的行业应用与运营服务业务，基础产品业务，nebulas/firebird/humbird系列芯片，um模块系列，ub/bdnav板卡系列，novatel板卡系列，高精度卫星定位天线，无人机天线，基站天线，大s动中通天线，微波介质陶瓷元器件，模组及整机产品，射频元器件产品，功率放大器，天璇接收机系列，novatel接收机系列，采集终端</w:t>
            </w:r>
          </w:p>
        </w:tc>
      </w:tr>
      <w:tr>
        <w:tc>
          <w:tcPr>
            <w:tcW w:type="dxa" w:w="8640"/>
          </w:tcPr>
          <w:p>
            <w:r>
              <w:t>所属概念：智能交通，TMT，航空航天，电子信息，遥感技术，高端装备，地理信息，阅兵，汽车电子，军民融合，智能物流，融资融券，国产替代，卫星导航，深股通，芯片制造，转融券标的，物联网平台层，国产航母，物联网，集成电路概念，无人驾驶，军工，华为概念，5G，富时罗素概念，富时罗素概念股，国家大基金持股，标普道琼斯A股，无人机，芯片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