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股票简称：协鑫集成</w:t>
            </w:r>
          </w:p>
        </w:tc>
        <w:tc>
          <w:tcPr>
            <w:tcW w:type="dxa" w:w="4320"/>
          </w:tcPr>
          <w:p>
            <w:r>
              <w:t>股票代码：002506</w:t>
            </w:r>
          </w:p>
        </w:tc>
      </w:tr>
      <w:tr>
        <w:tc>
          <w:tcPr>
            <w:tcW w:type="dxa" w:w="4320"/>
          </w:tcPr>
          <w:p>
            <w:r>
              <w:t>涨跌幅：5.16  -0.57/-9.95%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总股本(股)：50.82亿</w:t>
            </w:r>
          </w:p>
        </w:tc>
        <w:tc>
          <w:tcPr>
            <w:tcW w:type="dxa" w:w="4320"/>
          </w:tcPr>
          <w:p>
            <w:r>
              <w:t>流通比例(%)：99.84</w:t>
            </w:r>
          </w:p>
        </w:tc>
      </w:tr>
      <w:tr>
        <w:tc>
          <w:tcPr>
            <w:tcW w:type="dxa" w:w="4320"/>
          </w:tcPr>
          <w:p>
            <w:r>
              <w:t>总市值(亿元)：262.23</w:t>
            </w:r>
          </w:p>
        </w:tc>
        <w:tc>
          <w:tcPr>
            <w:tcW w:type="dxa" w:w="4320"/>
          </w:tcPr>
          <w:p>
            <w:r>
              <w:t>流通市值(亿元)：261.82</w:t>
            </w:r>
          </w:p>
        </w:tc>
      </w:tr>
      <w:tr>
        <w:tc>
          <w:tcPr>
            <w:tcW w:type="dxa" w:w="4320"/>
          </w:tcPr>
          <w:p>
            <w:r>
              <w:t>市盈率(倍)：-47.07</w:t>
            </w:r>
          </w:p>
        </w:tc>
        <w:tc>
          <w:tcPr>
            <w:tcW w:type="dxa" w:w="4320"/>
          </w:tcPr>
          <w:p>
            <w:r>
              <w:t>市净率(倍)：6.17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-1.39亿</w:t>
            </w:r>
          </w:p>
        </w:tc>
        <w:tc>
          <w:tcPr>
            <w:tcW w:type="dxa" w:w="2160"/>
          </w:tcPr>
          <w:p>
            <w:r>
              <w:t>-539.44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5,555.64万</w:t>
            </w:r>
          </w:p>
        </w:tc>
        <w:tc>
          <w:tcPr>
            <w:tcW w:type="dxa" w:w="2160"/>
          </w:tcPr>
          <w:p>
            <w:r>
              <w:t>23.13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-3,626.14万</w:t>
            </w:r>
          </w:p>
        </w:tc>
        <w:tc>
          <w:tcPr>
            <w:tcW w:type="dxa" w:w="2160"/>
          </w:tcPr>
          <w:p>
            <w:r>
              <w:t>62.55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多晶太阳能组件，电池片，供电，晶体硅太阳能电池组件，单晶太阳能组件，硅片，光伏电池，太阳能电池制造，中型晶硅电池，太阳能光伏组件，清洁能源，液晶面板，系统集成包，分布式电源及其配套产品</w:t>
            </w:r>
          </w:p>
        </w:tc>
      </w:tr>
      <w:tr>
        <w:tc>
          <w:tcPr>
            <w:tcW w:type="dxa" w:w="8640"/>
          </w:tcPr>
          <w:p>
            <w:r>
              <w:t>所属概念：新能源，深股通，太阳能，工业4.0，多晶硅，光伏概念，融资融券，转融券标的，集成电路概念，华为概念，富时罗素概念，富时罗素概念股，MSCI概念，标普道琼斯A股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