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股票简称：博云新材</w:t>
            </w:r>
          </w:p>
        </w:tc>
        <w:tc>
          <w:tcPr>
            <w:tcW w:type="dxa" w:w="4320"/>
          </w:tcPr>
          <w:p>
            <w:r>
              <w:t>股票代码：002297</w:t>
            </w:r>
          </w:p>
        </w:tc>
      </w:tr>
      <w:tr>
        <w:tc>
          <w:tcPr>
            <w:tcW w:type="dxa" w:w="4320"/>
          </w:tcPr>
          <w:p>
            <w:r>
              <w:t>涨跌幅：8.87  -0.13/-1.44%</w:t>
            </w:r>
          </w:p>
        </w:tc>
        <w:tc>
          <w:tcPr>
            <w:tcW w:type="dxa" w:w="4320"/>
          </w:tcPr>
          <w:p>
            <w:r>
              <w:t>涨停原因：军工。2天2板。</w:t>
            </w:r>
          </w:p>
        </w:tc>
      </w:tr>
      <w:tr>
        <w:tc>
          <w:tcPr>
            <w:tcW w:type="dxa" w:w="4320"/>
          </w:tcPr>
          <w:p>
            <w:r>
              <w:t>总股本(股)：4.71亿</w:t>
            </w:r>
          </w:p>
        </w:tc>
        <w:tc>
          <w:tcPr>
            <w:tcW w:type="dxa" w:w="4320"/>
          </w:tcPr>
          <w:p>
            <w:r>
              <w:t>流通比例(%)：99.71</w:t>
            </w:r>
          </w:p>
        </w:tc>
      </w:tr>
      <w:tr>
        <w:tc>
          <w:tcPr>
            <w:tcW w:type="dxa" w:w="4320"/>
          </w:tcPr>
          <w:p>
            <w:r>
              <w:t>总市值(亿元)：41.81</w:t>
            </w:r>
          </w:p>
        </w:tc>
        <w:tc>
          <w:tcPr>
            <w:tcW w:type="dxa" w:w="4320"/>
          </w:tcPr>
          <w:p>
            <w:r>
              <w:t>流通市值(亿元)：41.69</w:t>
            </w:r>
          </w:p>
        </w:tc>
      </w:tr>
      <w:tr>
        <w:tc>
          <w:tcPr>
            <w:tcW w:type="dxa" w:w="4320"/>
          </w:tcPr>
          <w:p>
            <w:r>
              <w:t>市盈率(倍)：-170.25</w:t>
            </w:r>
          </w:p>
        </w:tc>
        <w:tc>
          <w:tcPr>
            <w:tcW w:type="dxa" w:w="4320"/>
          </w:tcPr>
          <w:p>
            <w:r>
              <w:t>市净率(倍)：3.06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-613.89万</w:t>
            </w:r>
          </w:p>
        </w:tc>
        <w:tc>
          <w:tcPr>
            <w:tcW w:type="dxa" w:w="2160"/>
          </w:tcPr>
          <w:p>
            <w:r>
              <w:t>-751.08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-1.64亿</w:t>
            </w:r>
          </w:p>
        </w:tc>
        <w:tc>
          <w:tcPr>
            <w:tcW w:type="dxa" w:w="2160"/>
          </w:tcPr>
          <w:p>
            <w:r>
              <w:t>-704.19</w:t>
            </w:r>
          </w:p>
        </w:tc>
        <w:tc>
          <w:tcPr>
            <w:tcW w:type="dxa" w:w="2160"/>
          </w:tcPr>
          <w:p>
            <w:r>
              <w:t>-0.35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-1,386.39万</w:t>
            </w:r>
          </w:p>
        </w:tc>
        <w:tc>
          <w:tcPr>
            <w:tcW w:type="dxa" w:w="2160"/>
          </w:tcPr>
          <w:p>
            <w:r>
              <w:t>-325.16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航天及民用碳，碳复合材料，环保型高性能汽车刹车材料，高性能模具材料，航天及民用碳碳复合材料，飞机刹车副，飞机刹车材料，粉末冶金，大飞机，高性能粉末冶金制品，航空航天新材料，粉末冶金复合材料，高铁刹车片，新能源装备，刹车片，复合材料，飞机刹车零部件，刹车材料，汽车刹车片，新材料，模具材料，飞机刹车副材料，飞机机轮刹车系统，航天用炭/炭复合材料，民用炭/炭复合材，汽车盘式刹车片，鼓式刹车片，后制动蹄总成，高性能硬质合金，稀有金属粉体材料</w:t>
            </w:r>
          </w:p>
        </w:tc>
      </w:tr>
      <w:tr>
        <w:tc>
          <w:tcPr>
            <w:tcW w:type="dxa" w:w="8640"/>
          </w:tcPr>
          <w:p>
            <w:r>
              <w:t>所属概念：4D打印，新材料概念，碳纤维，贸易战受益股，大飞机，军工，股权转让，稀土永磁，地方国资改革，湖南国资改革，融资融券，转融券标的，高校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