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股票简称：国光连锁</w:t>
            </w:r>
          </w:p>
        </w:tc>
        <w:tc>
          <w:tcPr>
            <w:tcW w:type="dxa" w:w="4320"/>
          </w:tcPr>
          <w:p>
            <w:r>
              <w:t>股票代码：605188</w:t>
            </w:r>
          </w:p>
        </w:tc>
      </w:tr>
      <w:tr>
        <w:tc>
          <w:tcPr>
            <w:tcW w:type="dxa" w:w="4320"/>
          </w:tcPr>
          <w:p>
            <w:r>
              <w:t>涨跌幅：14.37  -0.53/-3.56%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总股本(股)：4.96亿</w:t>
            </w:r>
          </w:p>
        </w:tc>
        <w:tc>
          <w:tcPr>
            <w:tcW w:type="dxa" w:w="4320"/>
          </w:tcPr>
          <w:p>
            <w:r>
              <w:t>流通比例(%)：10</w:t>
            </w:r>
          </w:p>
        </w:tc>
      </w:tr>
      <w:tr>
        <w:tc>
          <w:tcPr>
            <w:tcW w:type="dxa" w:w="4320"/>
          </w:tcPr>
          <w:p>
            <w:r>
              <w:t>总市值(亿元)：71.21</w:t>
            </w:r>
          </w:p>
        </w:tc>
        <w:tc>
          <w:tcPr>
            <w:tcW w:type="dxa" w:w="4320"/>
          </w:tcPr>
          <w:p>
            <w:r>
              <w:t>流通市值(亿元)：7.12</w:t>
            </w:r>
          </w:p>
        </w:tc>
      </w:tr>
      <w:tr>
        <w:tc>
          <w:tcPr>
            <w:tcW w:type="dxa" w:w="4320"/>
          </w:tcPr>
          <w:p>
            <w:r>
              <w:t>市盈率(倍)：33.32</w:t>
            </w:r>
          </w:p>
        </w:tc>
        <w:tc>
          <w:tcPr>
            <w:tcW w:type="dxa" w:w="4320"/>
          </w:tcPr>
          <w:p>
            <w:r>
              <w:t>市净率(倍)：8.23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5,343.72万</w:t>
            </w:r>
          </w:p>
        </w:tc>
        <w:tc>
          <w:tcPr>
            <w:tcW w:type="dxa" w:w="2160"/>
          </w:tcPr>
          <w:p>
            <w:r>
              <w:t>12.34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1.14亿</w:t>
            </w:r>
          </w:p>
        </w:tc>
        <w:tc>
          <w:tcPr>
            <w:tcW w:type="dxa" w:w="2160"/>
          </w:tcPr>
          <w:p>
            <w:r>
              <w:t>33.87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主营产品名称：水果，海鲜，生肉，蔬菜，干货，烘培，熟食，谷物糕点，预包装食品，速冻食品，酒水饮，料，日化，日杂，毛巾，床上家居用品，珠宝，化妆品，服饰</w:t>
            </w:r>
          </w:p>
        </w:tc>
      </w:tr>
      <w:tr>
        <w:tc>
          <w:tcPr>
            <w:tcW w:type="dxa" w:w="8640"/>
          </w:tcPr>
          <w:p>
            <w:r>
              <w:t>所属概念：电子商务，新股与次新股，非科创次新股，新零售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