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股票简称：国盛金控</w:t>
            </w:r>
          </w:p>
        </w:tc>
        <w:tc>
          <w:tcPr>
            <w:tcW w:type="dxa" w:w="4320"/>
          </w:tcPr>
          <w:p>
            <w:r>
              <w:t>股票代码：002670</w:t>
            </w:r>
          </w:p>
        </w:tc>
      </w:tr>
      <w:tr>
        <w:tc>
          <w:tcPr>
            <w:tcW w:type="dxa" w:w="4320"/>
          </w:tcPr>
          <w:p>
            <w:r>
              <w:t>涨跌幅：10.75  0.00/0.00%</w:t>
            </w:r>
          </w:p>
        </w:tc>
        <w:tc>
          <w:tcPr>
            <w:tcW w:type="dxa" w:w="4320"/>
          </w:tcPr>
          <w:p>
            <w:r>
              <w:t>涨停原因：券商板块。2天2板。</w:t>
            </w:r>
          </w:p>
        </w:tc>
      </w:tr>
      <w:tr>
        <w:tc>
          <w:tcPr>
            <w:tcW w:type="dxa" w:w="4320"/>
          </w:tcPr>
          <w:p>
            <w:r>
              <w:t>总股本(股)：19.35亿</w:t>
            </w:r>
          </w:p>
        </w:tc>
        <w:tc>
          <w:tcPr>
            <w:tcW w:type="dxa" w:w="4320"/>
          </w:tcPr>
          <w:p>
            <w:r>
              <w:t>流通比例(%)：83.87</w:t>
            </w:r>
          </w:p>
        </w:tc>
      </w:tr>
      <w:tr>
        <w:tc>
          <w:tcPr>
            <w:tcW w:type="dxa" w:w="4320"/>
          </w:tcPr>
          <w:p>
            <w:r>
              <w:t>总市值(亿元)：208.02</w:t>
            </w:r>
          </w:p>
        </w:tc>
        <w:tc>
          <w:tcPr>
            <w:tcW w:type="dxa" w:w="4320"/>
          </w:tcPr>
          <w:p>
            <w:r>
              <w:t>流通市值(亿元)：174.46</w:t>
            </w:r>
          </w:p>
        </w:tc>
      </w:tr>
      <w:tr>
        <w:tc>
          <w:tcPr>
            <w:tcW w:type="dxa" w:w="4320"/>
          </w:tcPr>
          <w:p>
            <w:r>
              <w:t>市盈率(倍)：-42.21</w:t>
            </w:r>
          </w:p>
        </w:tc>
        <w:tc>
          <w:tcPr>
            <w:tcW w:type="dxa" w:w="4320"/>
          </w:tcPr>
          <w:p>
            <w:r>
              <w:t>市净率(倍)：1.81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-1.23亿</w:t>
            </w:r>
          </w:p>
        </w:tc>
        <w:tc>
          <w:tcPr>
            <w:tcW w:type="dxa" w:w="2160"/>
          </w:tcPr>
          <w:p>
            <w:r>
              <w:t>-127.88</w:t>
            </w:r>
          </w:p>
        </w:tc>
        <w:tc>
          <w:tcPr>
            <w:tcW w:type="dxa" w:w="2160"/>
          </w:tcPr>
          <w:p>
            <w:r>
              <w:t>-0.06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9,520.61万</w:t>
            </w:r>
          </w:p>
        </w:tc>
        <w:tc>
          <w:tcPr>
            <w:tcW w:type="dxa" w:w="2160"/>
          </w:tcPr>
          <w:p>
            <w:r>
              <w:t>117.49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9,258.27万</w:t>
            </w:r>
          </w:p>
        </w:tc>
        <w:tc>
          <w:tcPr>
            <w:tcW w:type="dxa" w:w="2160"/>
          </w:tcPr>
          <w:p>
            <w:r>
              <w:t>136.42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主营产品名称：电源输入组件，电热电器电源输入组件，冰洗电器电源输入组件，空调电源输入组件，空调连接组件，空调配线组件，证券业务，投资业务，各种家用电器的电源输入组件，金融科技业务</w:t>
            </w:r>
          </w:p>
        </w:tc>
      </w:tr>
      <w:tr>
        <w:tc>
          <w:tcPr>
            <w:tcW w:type="dxa" w:w="8640"/>
          </w:tcPr>
          <w:p>
            <w:r>
              <w:t>所属概念：参股券商，互联网保险，深股通，融资融券，区块链，转融券标的，富时罗素概念，富时罗素概念股，消费金融，标普道琼斯A股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