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股票简称：富煌钢构</w:t>
            </w:r>
          </w:p>
        </w:tc>
        <w:tc>
          <w:tcPr>
            <w:tcW w:type="dxa" w:w="4320"/>
          </w:tcPr>
          <w:p>
            <w:r>
              <w:t>股票代码：002743</w:t>
            </w:r>
          </w:p>
        </w:tc>
      </w:tr>
      <w:tr>
        <w:tc>
          <w:tcPr>
            <w:tcW w:type="dxa" w:w="4320"/>
          </w:tcPr>
          <w:p>
            <w:r>
              <w:t>涨跌幅：8.72  +0.20/+2.35%</w:t>
            </w:r>
          </w:p>
        </w:tc>
        <w:tc>
          <w:tcPr>
            <w:tcW w:type="dxa" w:w="4320"/>
          </w:tcPr>
          <w:p>
            <w:r>
              <w:t>涨停原因：装配式建筑。首板涨停。</w:t>
            </w:r>
          </w:p>
        </w:tc>
      </w:tr>
      <w:tr>
        <w:tc>
          <w:tcPr>
            <w:tcW w:type="dxa" w:w="4320"/>
          </w:tcPr>
          <w:p>
            <w:r>
              <w:t>总股本(股)：3.36亿</w:t>
            </w:r>
          </w:p>
        </w:tc>
        <w:tc>
          <w:tcPr>
            <w:tcW w:type="dxa" w:w="4320"/>
          </w:tcPr>
          <w:p>
            <w:r>
              <w:t>流通比例(%)：99.72</w:t>
            </w:r>
          </w:p>
        </w:tc>
      </w:tr>
      <w:tr>
        <w:tc>
          <w:tcPr>
            <w:tcW w:type="dxa" w:w="4320"/>
          </w:tcPr>
          <w:p>
            <w:r>
              <w:t>总市值(亿元)：29.33</w:t>
            </w:r>
          </w:p>
        </w:tc>
        <w:tc>
          <w:tcPr>
            <w:tcW w:type="dxa" w:w="4320"/>
          </w:tcPr>
          <w:p>
            <w:r>
              <w:t>流通市值(亿元)：29.25</w:t>
            </w:r>
          </w:p>
        </w:tc>
      </w:tr>
      <w:tr>
        <w:tc>
          <w:tcPr>
            <w:tcW w:type="dxa" w:w="4320"/>
          </w:tcPr>
          <w:p>
            <w:r>
              <w:t>市盈率(倍)：594.06</w:t>
            </w:r>
          </w:p>
        </w:tc>
        <w:tc>
          <w:tcPr>
            <w:tcW w:type="dxa" w:w="4320"/>
          </w:tcPr>
          <w:p>
            <w:r>
              <w:t>市净率(倍)：1.35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123.42万</w:t>
            </w:r>
          </w:p>
        </w:tc>
        <w:tc>
          <w:tcPr>
            <w:tcW w:type="dxa" w:w="2160"/>
          </w:tcPr>
          <w:p>
            <w:r>
              <w:t>-90.02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9,027.99万</w:t>
            </w:r>
          </w:p>
        </w:tc>
        <w:tc>
          <w:tcPr>
            <w:tcW w:type="dxa" w:w="2160"/>
          </w:tcPr>
          <w:p>
            <w:r>
              <w:t>9.50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7,130.88万</w:t>
            </w:r>
          </w:p>
        </w:tc>
        <w:tc>
          <w:tcPr>
            <w:tcW w:type="dxa" w:w="2160"/>
          </w:tcPr>
          <w:p>
            <w:r>
              <w:t>13.27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主营产品名称：重型钢结构，钢结构土建，门窗，轻型钢结构，重钢结构产品，轻钢结构产品，实木复合门，钢结构产品，门窗产品</w:t>
            </w:r>
          </w:p>
        </w:tc>
      </w:tr>
      <w:tr>
        <w:tc>
          <w:tcPr>
            <w:tcW w:type="dxa" w:w="8640"/>
          </w:tcPr>
          <w:p>
            <w:r>
              <w:t>所属概念：棚户区改造，PPP概念，军民融合，装配式建筑，雄安新区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