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股票简称：振芯科技</w:t>
            </w:r>
          </w:p>
        </w:tc>
        <w:tc>
          <w:tcPr>
            <w:tcW w:type="dxa" w:w="4320"/>
          </w:tcPr>
          <w:p>
            <w:r>
              <w:t>股票代码：300101</w:t>
            </w:r>
          </w:p>
        </w:tc>
      </w:tr>
      <w:tr>
        <w:tc>
          <w:tcPr>
            <w:tcW w:type="dxa" w:w="4320"/>
          </w:tcPr>
          <w:p>
            <w:r>
              <w:t>涨跌幅：16.00  +0.40/+2.56%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总股本(股)：5.58亿</w:t>
            </w:r>
          </w:p>
        </w:tc>
        <w:tc>
          <w:tcPr>
            <w:tcW w:type="dxa" w:w="4320"/>
          </w:tcPr>
          <w:p>
            <w:r>
              <w:t>流通比例(%)：98.63</w:t>
            </w:r>
          </w:p>
        </w:tc>
      </w:tr>
      <w:tr>
        <w:tc>
          <w:tcPr>
            <w:tcW w:type="dxa" w:w="4320"/>
          </w:tcPr>
          <w:p>
            <w:r>
              <w:t>总市值(亿元)：89.34</w:t>
            </w:r>
          </w:p>
        </w:tc>
        <w:tc>
          <w:tcPr>
            <w:tcW w:type="dxa" w:w="4320"/>
          </w:tcPr>
          <w:p>
            <w:r>
              <w:t>流通市值(亿元)：88.11</w:t>
            </w:r>
          </w:p>
        </w:tc>
      </w:tr>
      <w:tr>
        <w:tc>
          <w:tcPr>
            <w:tcW w:type="dxa" w:w="4320"/>
          </w:tcPr>
          <w:p>
            <w:r>
              <w:t>市盈率(倍)：484.97</w:t>
            </w:r>
          </w:p>
        </w:tc>
        <w:tc>
          <w:tcPr>
            <w:tcW w:type="dxa" w:w="4320"/>
          </w:tcPr>
          <w:p>
            <w:r>
              <w:t>市净率(倍)：9.57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460.52万</w:t>
            </w:r>
          </w:p>
        </w:tc>
        <w:tc>
          <w:tcPr>
            <w:tcW w:type="dxa" w:w="2160"/>
          </w:tcPr>
          <w:p>
            <w:r>
              <w:t>36.45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458.68万</w:t>
            </w:r>
          </w:p>
        </w:tc>
        <w:tc>
          <w:tcPr>
            <w:tcW w:type="dxa" w:w="2160"/>
          </w:tcPr>
          <w:p>
            <w:r>
              <w:t>-71.63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820.75万</w:t>
            </w:r>
          </w:p>
        </w:tc>
        <w:tc>
          <w:tcPr>
            <w:tcW w:type="dxa" w:w="2160"/>
          </w:tcPr>
          <w:p>
            <w:r>
              <w:t>-69.12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特种行业高性能集成电路，北斗卫星导航定位用户终端，北斗卫星导航定位应用系统，安防监控，设计服务，北斗运营，元器件，卫星定位终端，北斗卫星导航应用关键元器件，北斗导航芯片，北斗卫星导航，北斗导航设备，摄像机，安防业务，视频监控业务，北斗导航，北斗设备，导航，芯片，导航终端，集成电路，直接数字频率合成器dds，频综类芯片，视讯类芯片，mems惯性器件，基带芯片，射频芯片，天线，功放，低噪放，“北斗云”位置服务软件平台，高性能摄像头，无人机光电吊舱</w:t>
            </w:r>
          </w:p>
        </w:tc>
      </w:tr>
      <w:tr>
        <w:tc>
          <w:tcPr>
            <w:tcW w:type="dxa" w:w="8640"/>
          </w:tcPr>
          <w:p>
            <w:r>
              <w:t>所属概念：航空航天，成都天府新区，国产替代，遥感技术，军民融合，人工智能，智能交通，元器件，互联网大会，航天军工，电子信息，互联网平台，核高基，芯片概念，卫星导航，地理信息，物联网感知层，国产航母，物联网，集成电路概念，军工，融资融券，转融券标的，无人机，富时罗素概念股，5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