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股票简称：数字认证</w:t>
            </w:r>
          </w:p>
        </w:tc>
        <w:tc>
          <w:tcPr>
            <w:tcW w:type="dxa" w:w="4320"/>
          </w:tcPr>
          <w:p>
            <w:r>
              <w:t>股票代码：300579</w:t>
            </w:r>
          </w:p>
        </w:tc>
      </w:tr>
      <w:tr>
        <w:tc>
          <w:tcPr>
            <w:tcW w:type="dxa" w:w="4320"/>
          </w:tcPr>
          <w:p>
            <w:r>
              <w:t>涨跌幅：60.85  +3.49/+6.08%</w:t>
            </w:r>
          </w:p>
        </w:tc>
        <w:tc>
          <w:tcPr>
            <w:tcW w:type="dxa" w:w="4320"/>
          </w:tcPr>
          <w:p>
            <w:r>
              <w:t>涨停原因：数字货币。4天3板。</w:t>
            </w:r>
          </w:p>
        </w:tc>
      </w:tr>
      <w:tr>
        <w:tc>
          <w:tcPr>
            <w:tcW w:type="dxa" w:w="4320"/>
          </w:tcPr>
          <w:p>
            <w:r>
              <w:t>总股本(股)：1.80亿</w:t>
            </w:r>
          </w:p>
        </w:tc>
        <w:tc>
          <w:tcPr>
            <w:tcW w:type="dxa" w:w="4320"/>
          </w:tcPr>
          <w:p>
            <w:r>
              <w:t>流通比例(%)：96.69</w:t>
            </w:r>
          </w:p>
        </w:tc>
      </w:tr>
      <w:tr>
        <w:tc>
          <w:tcPr>
            <w:tcW w:type="dxa" w:w="4320"/>
          </w:tcPr>
          <w:p>
            <w:r>
              <w:t>总市值(亿元)：109.53</w:t>
            </w:r>
          </w:p>
        </w:tc>
        <w:tc>
          <w:tcPr>
            <w:tcW w:type="dxa" w:w="4320"/>
          </w:tcPr>
          <w:p>
            <w:r>
              <w:t>流通市值(亿元)：105.9</w:t>
            </w:r>
          </w:p>
        </w:tc>
      </w:tr>
      <w:tr>
        <w:tc>
          <w:tcPr>
            <w:tcW w:type="dxa" w:w="4320"/>
          </w:tcPr>
          <w:p>
            <w:r>
              <w:t>市盈率(倍)：-352.28</w:t>
            </w:r>
          </w:p>
        </w:tc>
        <w:tc>
          <w:tcPr>
            <w:tcW w:type="dxa" w:w="4320"/>
          </w:tcPr>
          <w:p>
            <w:r>
              <w:t>市净率(倍)：16.54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-777.30万</w:t>
            </w:r>
          </w:p>
        </w:tc>
        <w:tc>
          <w:tcPr>
            <w:tcW w:type="dxa" w:w="2160"/>
          </w:tcPr>
          <w:p>
            <w:r>
              <w:t>-217.75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9,852.60万</w:t>
            </w:r>
          </w:p>
        </w:tc>
        <w:tc>
          <w:tcPr>
            <w:tcW w:type="dxa" w:w="2160"/>
          </w:tcPr>
          <w:p>
            <w:r>
              <w:t>13.96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4,230.41万</w:t>
            </w:r>
          </w:p>
        </w:tc>
        <w:tc>
          <w:tcPr>
            <w:tcW w:type="dxa" w:w="2160"/>
          </w:tcPr>
          <w:p>
            <w:r>
              <w:t>8.02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数字证书服务，电子签名服务，电子认证基础设施产品，数字身份管理产品，电子签名产品，提供安全集成，安全咨询和安全运维等服务，电子认证服务，安全集成综合项目，安全咨询与安全运维服务，安全集成，安全咨询与运维服务</w:t>
            </w:r>
          </w:p>
        </w:tc>
      </w:tr>
      <w:tr>
        <w:tc>
          <w:tcPr>
            <w:tcW w:type="dxa" w:w="8640"/>
          </w:tcPr>
          <w:p>
            <w:r>
              <w:t>所属概念：移动支付，区块链储备，区块链，知识产权保护，网络安全，国产软件，华为概念，地方国资改革，阿里巴巴概念，车联网，雄安新区，数字货币，智慧政务，密码安全管理，深股通，芯片设计，芯片概念，北京国资改革，数字中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