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股票简称：新日恒力</w:t>
            </w:r>
          </w:p>
        </w:tc>
        <w:tc>
          <w:tcPr>
            <w:tcW w:type="dxa" w:w="4320"/>
          </w:tcPr>
          <w:p>
            <w:r>
              <w:t>股票代码：600165</w:t>
            </w:r>
          </w:p>
        </w:tc>
      </w:tr>
      <w:tr>
        <w:tc>
          <w:tcPr>
            <w:tcW w:type="dxa" w:w="4320"/>
          </w:tcPr>
          <w:p>
            <w:r>
              <w:t>涨跌幅：7.97  -0.56/-6.57%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总股本(股)：6.85亿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总市值(亿元)：54.59</w:t>
            </w:r>
          </w:p>
        </w:tc>
        <w:tc>
          <w:tcPr>
            <w:tcW w:type="dxa" w:w="4320"/>
          </w:tcPr>
          <w:p>
            <w:r>
              <w:t>流通市值(亿元)：54.59</w:t>
            </w:r>
          </w:p>
        </w:tc>
      </w:tr>
      <w:tr>
        <w:tc>
          <w:tcPr>
            <w:tcW w:type="dxa" w:w="4320"/>
          </w:tcPr>
          <w:p>
            <w:r>
              <w:t>市盈率(倍)：893.06</w:t>
            </w:r>
          </w:p>
        </w:tc>
        <w:tc>
          <w:tcPr>
            <w:tcW w:type="dxa" w:w="4320"/>
          </w:tcPr>
          <w:p>
            <w:r>
              <w:t>市净率(倍)：6.06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152.80万</w:t>
            </w:r>
          </w:p>
        </w:tc>
        <w:tc>
          <w:tcPr>
            <w:tcW w:type="dxa" w:w="2160"/>
          </w:tcPr>
          <w:p>
            <w:r>
              <w:t>128.50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-4,495.21万</w:t>
            </w:r>
          </w:p>
        </w:tc>
        <w:tc>
          <w:tcPr>
            <w:tcW w:type="dxa" w:w="2160"/>
          </w:tcPr>
          <w:p>
            <w:r>
              <w:t>-578.18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-3,151.46万</w:t>
            </w:r>
          </w:p>
        </w:tc>
        <w:tc>
          <w:tcPr>
            <w:tcW w:type="dxa" w:w="2160"/>
          </w:tcPr>
          <w:p>
            <w:r>
              <w:t>-9,671.21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煤炭制品，钢材贸易，钢丝及其制品，恒力钢丝，华辉活性炭，金属制品，矿用钢丝绳，起重用钢丝绳，索道用钢丝绳，石油用钢丝绳，港口用钢丝绳，预应力钢绞线，对外贸易，电解铜贸易，干细胞制备，储存，化学原料及化学制品制造，贸易业务，融资租赁</w:t>
            </w:r>
          </w:p>
        </w:tc>
      </w:tr>
      <w:tr>
        <w:tc>
          <w:tcPr>
            <w:tcW w:type="dxa" w:w="8640"/>
          </w:tcPr>
          <w:p>
            <w:r>
              <w:t>所属概念：节能环保，新材料概念，线材，保障房，活性炭，国产航母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