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股票简称：杭萧钢构</w:t>
            </w:r>
          </w:p>
        </w:tc>
        <w:tc>
          <w:tcPr>
            <w:tcW w:type="dxa" w:w="4320"/>
          </w:tcPr>
          <w:p>
            <w:r>
              <w:t>股票代码：600477</w:t>
            </w:r>
          </w:p>
        </w:tc>
      </w:tr>
      <w:tr>
        <w:tc>
          <w:tcPr>
            <w:tcW w:type="dxa" w:w="4320"/>
          </w:tcPr>
          <w:p>
            <w:r>
              <w:t>涨跌幅：4.93  +0.19/+4.01%</w:t>
            </w:r>
          </w:p>
        </w:tc>
        <w:tc>
          <w:tcPr>
            <w:tcW w:type="dxa" w:w="4320"/>
          </w:tcPr>
          <w:p>
            <w:r>
              <w:t>涨停原因：装配式建筑。首板涨停。</w:t>
            </w:r>
          </w:p>
        </w:tc>
      </w:tr>
      <w:tr>
        <w:tc>
          <w:tcPr>
            <w:tcW w:type="dxa" w:w="4320"/>
          </w:tcPr>
          <w:p>
            <w:r>
              <w:t>总股本(股)：21.54亿</w:t>
            </w:r>
          </w:p>
        </w:tc>
        <w:tc>
          <w:tcPr>
            <w:tcW w:type="dxa" w:w="4320"/>
          </w:tcPr>
          <w:p>
            <w:r>
              <w:t>流通比例(%)：99.99</w:t>
            </w:r>
          </w:p>
        </w:tc>
      </w:tr>
      <w:tr>
        <w:tc>
          <w:tcPr>
            <w:tcW w:type="dxa" w:w="4320"/>
          </w:tcPr>
          <w:p>
            <w:r>
              <w:t>总市值(亿元)：106.18</w:t>
            </w:r>
          </w:p>
        </w:tc>
        <w:tc>
          <w:tcPr>
            <w:tcW w:type="dxa" w:w="4320"/>
          </w:tcPr>
          <w:p>
            <w:r>
              <w:t>流通市值(亿元)：106.17</w:t>
            </w:r>
          </w:p>
        </w:tc>
      </w:tr>
      <w:tr>
        <w:tc>
          <w:tcPr>
            <w:tcW w:type="dxa" w:w="4320"/>
          </w:tcPr>
          <w:p>
            <w:r>
              <w:t>市盈率(倍)：11.11</w:t>
            </w:r>
          </w:p>
        </w:tc>
        <w:tc>
          <w:tcPr>
            <w:tcW w:type="dxa" w:w="4320"/>
          </w:tcPr>
          <w:p>
            <w:r>
              <w:t>市净率(倍)：2.81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4.78亿</w:t>
            </w:r>
          </w:p>
        </w:tc>
        <w:tc>
          <w:tcPr>
            <w:tcW w:type="dxa" w:w="2160"/>
          </w:tcPr>
          <w:p>
            <w:r>
              <w:t>131.95</w:t>
            </w:r>
          </w:p>
        </w:tc>
        <w:tc>
          <w:tcPr>
            <w:tcW w:type="dxa" w:w="2160"/>
          </w:tcPr>
          <w:p>
            <w:r>
              <w:t>0.22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2.16亿</w:t>
            </w:r>
          </w:p>
        </w:tc>
        <w:tc>
          <w:tcPr>
            <w:tcW w:type="dxa" w:w="2160"/>
          </w:tcPr>
          <w:p>
            <w:r>
              <w:t>131.41</w:t>
            </w:r>
          </w:p>
        </w:tc>
        <w:tc>
          <w:tcPr>
            <w:tcW w:type="dxa" w:w="2160"/>
          </w:tcPr>
          <w:p>
            <w:r>
              <w:t>0.10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4.69亿</w:t>
            </w:r>
          </w:p>
        </w:tc>
        <w:tc>
          <w:tcPr>
            <w:tcW w:type="dxa" w:w="2160"/>
          </w:tcPr>
          <w:p>
            <w:r>
              <w:t>-17.44</w:t>
            </w:r>
          </w:p>
        </w:tc>
        <w:tc>
          <w:tcPr>
            <w:tcW w:type="dxa" w:w="2160"/>
          </w:tcPr>
          <w:p>
            <w:r>
              <w:t>0.22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3.02亿</w:t>
            </w:r>
          </w:p>
        </w:tc>
        <w:tc>
          <w:tcPr>
            <w:tcW w:type="dxa" w:w="2160"/>
          </w:tcPr>
          <w:p>
            <w:r>
              <w:t>-29.53</w:t>
            </w:r>
          </w:p>
        </w:tc>
        <w:tc>
          <w:tcPr>
            <w:tcW w:type="dxa" w:w="2160"/>
          </w:tcPr>
          <w:p>
            <w:r>
              <w:t>0.14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主营产品名称：轻钢结构，空间结构，建材产品，房产销售，物业管理，钢结构产品，多高层钢结构，钢结构，城轨，紧固件，服务业，空间钢结构</w:t>
            </w:r>
          </w:p>
        </w:tc>
      </w:tr>
      <w:tr>
        <w:tc>
          <w:tcPr>
            <w:tcW w:type="dxa" w:w="8640"/>
          </w:tcPr>
          <w:p>
            <w:r>
              <w:t>所属概念：新型城镇化，空中巴士，杭州湾大湾区，棚户区改造，线材，杭州亚运会，钢结构，沪股通，工程建材，绿色建筑，一带一路，装配式建筑，融资融券，雄安新区，电子商务，转融券标的，互联网平台，工业互联网，富时罗素概念，富时罗素概念股，标普道琼斯A股，互联网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