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股票简称：浙江鼎力</w:t>
            </w:r>
          </w:p>
        </w:tc>
        <w:tc>
          <w:tcPr>
            <w:tcW w:type="dxa" w:w="4320"/>
          </w:tcPr>
          <w:p>
            <w:r>
              <w:t>股票代码：603338</w:t>
            </w:r>
          </w:p>
        </w:tc>
      </w:tr>
      <w:tr>
        <w:tc>
          <w:tcPr>
            <w:tcW w:type="dxa" w:w="4320"/>
          </w:tcPr>
          <w:p>
            <w:r>
              <w:t>涨跌幅：94.35  +1.20/+1.29%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总股本(股)：4.85亿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总市值(亿元)：458.06</w:t>
            </w:r>
          </w:p>
        </w:tc>
        <w:tc>
          <w:tcPr>
            <w:tcW w:type="dxa" w:w="4320"/>
          </w:tcPr>
          <w:p>
            <w:r>
              <w:t>流通市值(亿元)：458.06</w:t>
            </w:r>
          </w:p>
        </w:tc>
      </w:tr>
      <w:tr>
        <w:tc>
          <w:tcPr>
            <w:tcW w:type="dxa" w:w="4320"/>
          </w:tcPr>
          <w:p>
            <w:r>
              <w:t>市盈率(倍)：93.97</w:t>
            </w:r>
          </w:p>
        </w:tc>
        <w:tc>
          <w:tcPr>
            <w:tcW w:type="dxa" w:w="4320"/>
          </w:tcPr>
          <w:p>
            <w:r>
              <w:t>市净率(倍)：13.75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1.22亿</w:t>
            </w:r>
          </w:p>
        </w:tc>
        <w:tc>
          <w:tcPr>
            <w:tcW w:type="dxa" w:w="2160"/>
          </w:tcPr>
          <w:p>
            <w:r>
              <w:t>20.59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6.94亿</w:t>
            </w:r>
          </w:p>
        </w:tc>
        <w:tc>
          <w:tcPr>
            <w:tcW w:type="dxa" w:w="2160"/>
          </w:tcPr>
          <w:p>
            <w:r>
              <w:t>44.46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4.44亿</w:t>
            </w:r>
          </w:p>
        </w:tc>
        <w:tc>
          <w:tcPr>
            <w:tcW w:type="dxa" w:w="2160"/>
          </w:tcPr>
          <w:p>
            <w:r>
              <w:t>12.02</w:t>
            </w:r>
          </w:p>
        </w:tc>
        <w:tc>
          <w:tcPr>
            <w:tcW w:type="dxa" w:w="2160"/>
          </w:tcPr>
          <w:p>
            <w:r>
              <w:t>1.28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主营产品名称：曲臂式，剪叉式，桅柱式，门架式和桅柱爬升式，全电动叉车，半电动叉车，手动叉车，直臂式，机器，臂式高空作业平台，剪叉式高空作业平台，桅柱式高空作业平台，智能伸缩臂高位叉装车</w:t>
            </w:r>
          </w:p>
        </w:tc>
      </w:tr>
      <w:tr>
        <w:tc>
          <w:tcPr>
            <w:tcW w:type="dxa" w:w="8640"/>
          </w:tcPr>
          <w:p>
            <w:r>
              <w:t>所属概念：军工，高端装备，工业4.0，一带一路，沪股通，军民融合，人民币贬值受益，融资融券，转融券标的，富时罗素概念，半年报预增，富时罗素概念股，MSCI概念，标普道琼斯A股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