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股票简称：浪潮软件</w:t>
            </w:r>
          </w:p>
        </w:tc>
        <w:tc>
          <w:tcPr>
            <w:tcW w:type="dxa" w:w="4320"/>
          </w:tcPr>
          <w:p>
            <w:r>
              <w:t>股票代码：600756</w:t>
            </w:r>
          </w:p>
        </w:tc>
      </w:tr>
      <w:tr>
        <w:tc>
          <w:tcPr>
            <w:tcW w:type="dxa" w:w="4320"/>
          </w:tcPr>
          <w:p>
            <w:r>
              <w:t>涨跌幅：20.45  -0.12/-0.58%</w:t>
            </w:r>
          </w:p>
        </w:tc>
        <w:tc>
          <w:tcPr>
            <w:tcW w:type="dxa" w:w="4320"/>
          </w:tcPr>
          <w:p>
            <w:r>
              <w:t>涨停原因：国产软件。首板涨停。</w:t>
            </w:r>
          </w:p>
        </w:tc>
      </w:tr>
      <w:tr>
        <w:tc>
          <w:tcPr>
            <w:tcW w:type="dxa" w:w="4320"/>
          </w:tcPr>
          <w:p>
            <w:r>
              <w:t>总股本(股)：3.24亿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总市值(亿元)：66.28</w:t>
            </w:r>
          </w:p>
        </w:tc>
        <w:tc>
          <w:tcPr>
            <w:tcW w:type="dxa" w:w="4320"/>
          </w:tcPr>
          <w:p>
            <w:r>
              <w:t>流通市值(亿元)：66.28</w:t>
            </w:r>
          </w:p>
        </w:tc>
      </w:tr>
      <w:tr>
        <w:tc>
          <w:tcPr>
            <w:tcW w:type="dxa" w:w="4320"/>
          </w:tcPr>
          <w:p>
            <w:r>
              <w:t>市盈率(倍)：-165.48</w:t>
            </w:r>
          </w:p>
        </w:tc>
        <w:tc>
          <w:tcPr>
            <w:tcW w:type="dxa" w:w="4320"/>
          </w:tcPr>
          <w:p>
            <w:r>
              <w:t>市净率(倍)：2.73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-1,001.31万</w:t>
            </w:r>
          </w:p>
        </w:tc>
        <w:tc>
          <w:tcPr>
            <w:tcW w:type="dxa" w:w="2160"/>
          </w:tcPr>
          <w:p>
            <w:r>
              <w:t>-403.79</w:t>
            </w:r>
          </w:p>
        </w:tc>
        <w:tc>
          <w:tcPr>
            <w:tcW w:type="dxa" w:w="2160"/>
          </w:tcPr>
          <w:p>
            <w:r>
              <w:t>-0.03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2,758.33万</w:t>
            </w:r>
          </w:p>
        </w:tc>
        <w:tc>
          <w:tcPr>
            <w:tcW w:type="dxa" w:w="2160"/>
          </w:tcPr>
          <w:p>
            <w:r>
              <w:t>-91.22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-5,741.20万</w:t>
            </w:r>
          </w:p>
        </w:tc>
        <w:tc>
          <w:tcPr>
            <w:tcW w:type="dxa" w:w="2160"/>
          </w:tcPr>
          <w:p>
            <w:r>
              <w:t>-157.28</w:t>
            </w:r>
          </w:p>
        </w:tc>
        <w:tc>
          <w:tcPr>
            <w:tcW w:type="dxa" w:w="2160"/>
          </w:tcPr>
          <w:p>
            <w:r>
              <w:t>-0.18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主营产品名称：房屋租赁，浪潮电子政务软件，通信，计算机软硬件，软件及系统集成，核高基，云计算，大数据，应用软件，网络游戏，cdma，租赁</w:t>
            </w:r>
          </w:p>
        </w:tc>
      </w:tr>
      <w:tr>
        <w:tc>
          <w:tcPr>
            <w:tcW w:type="dxa" w:w="8640"/>
          </w:tcPr>
          <w:p>
            <w:r>
              <w:t>所属概念：核高基，云服务，电子信息，融资融券，沪股通，转融券标的，大数据，电子政务，工业互联网，云计算，国产软件，边缘计算，地方国资改革，山东国资改革，富时罗素概念，富时罗素概念股，标普道琼斯A股，数字中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