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股票简称：海南发展</w:t>
            </w:r>
          </w:p>
        </w:tc>
        <w:tc>
          <w:tcPr>
            <w:tcW w:type="dxa" w:w="4320"/>
          </w:tcPr>
          <w:p>
            <w:r>
              <w:t>股票代码：002163</w:t>
            </w:r>
          </w:p>
        </w:tc>
      </w:tr>
      <w:tr>
        <w:tc>
          <w:tcPr>
            <w:tcW w:type="dxa" w:w="4320"/>
          </w:tcPr>
          <w:p>
            <w:r>
              <w:t>涨跌幅：20.76  -1.27/-5.77%</w:t>
            </w:r>
          </w:p>
        </w:tc>
        <w:tc>
          <w:tcPr>
            <w:tcW w:type="dxa" w:w="4320"/>
          </w:tcPr>
          <w:p>
            <w:r>
              <w:t>涨停原因：海南自贸区+玻璃。首板涨停。</w:t>
            </w:r>
          </w:p>
        </w:tc>
      </w:tr>
      <w:tr>
        <w:tc>
          <w:tcPr>
            <w:tcW w:type="dxa" w:w="4320"/>
          </w:tcPr>
          <w:p>
            <w:r>
              <w:t>总股本(股)：8.04亿</w:t>
            </w:r>
          </w:p>
        </w:tc>
        <w:tc>
          <w:tcPr>
            <w:tcW w:type="dxa" w:w="4320"/>
          </w:tcPr>
          <w:p>
            <w:r>
              <w:t>流通比例(%)：99.99</w:t>
            </w:r>
          </w:p>
        </w:tc>
      </w:tr>
      <w:tr>
        <w:tc>
          <w:tcPr>
            <w:tcW w:type="dxa" w:w="4320"/>
          </w:tcPr>
          <w:p>
            <w:r>
              <w:t>总市值(亿元)：166.82</w:t>
            </w:r>
          </w:p>
        </w:tc>
        <w:tc>
          <w:tcPr>
            <w:tcW w:type="dxa" w:w="4320"/>
          </w:tcPr>
          <w:p>
            <w:r>
              <w:t>流通市值(亿元)：166.8</w:t>
            </w:r>
          </w:p>
        </w:tc>
      </w:tr>
      <w:tr>
        <w:tc>
          <w:tcPr>
            <w:tcW w:type="dxa" w:w="4320"/>
          </w:tcPr>
          <w:p>
            <w:r>
              <w:t>市盈率(倍)：623.35</w:t>
            </w:r>
          </w:p>
        </w:tc>
        <w:tc>
          <w:tcPr>
            <w:tcW w:type="dxa" w:w="4320"/>
          </w:tcPr>
          <w:p>
            <w:r>
              <w:t>市净率(倍)：24.72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669.04万</w:t>
            </w:r>
          </w:p>
        </w:tc>
        <w:tc>
          <w:tcPr>
            <w:tcW w:type="dxa" w:w="2160"/>
          </w:tcPr>
          <w:p>
            <w:r>
              <w:t>119.49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5,122.05万</w:t>
            </w:r>
          </w:p>
        </w:tc>
        <w:tc>
          <w:tcPr>
            <w:tcW w:type="dxa" w:w="2160"/>
          </w:tcPr>
          <w:p>
            <w:r>
              <w:t>56.89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410.93万</w:t>
            </w:r>
          </w:p>
        </w:tc>
        <w:tc>
          <w:tcPr>
            <w:tcW w:type="dxa" w:w="2160"/>
          </w:tcPr>
          <w:p>
            <w:r>
              <w:t>108.80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幕墙玻璃制品，家电玻璃制品，幕墙门窗制品，特玻材料，幕墙工程，玻璃，特种玻璃，幕墙业务，节能玻璃，航空材料，幕墙，高端特种玻璃，太阳能玻璃，玻璃制造，光电幕墙，新能源，玻璃幕墙，石墨烯</w:t>
            </w:r>
          </w:p>
        </w:tc>
      </w:tr>
      <w:tr>
        <w:tc>
          <w:tcPr>
            <w:tcW w:type="dxa" w:w="8640"/>
          </w:tcPr>
          <w:p>
            <w:r>
              <w:t>所属概念：工业用地，特种玻璃，股权转让，光伏概念，地方国资改革，海南自贸区，玻璃，光伏玻璃，幕墙，建筑节能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