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股票简称：海航投资</w:t>
            </w:r>
          </w:p>
        </w:tc>
        <w:tc>
          <w:tcPr>
            <w:tcW w:type="dxa" w:w="4320"/>
          </w:tcPr>
          <w:p>
            <w:r>
              <w:t>股票代码：000616</w:t>
            </w:r>
          </w:p>
        </w:tc>
      </w:tr>
      <w:tr>
        <w:tc>
          <w:tcPr>
            <w:tcW w:type="dxa" w:w="4320"/>
          </w:tcPr>
          <w:p>
            <w:r>
              <w:t>涨跌幅：3.05  -0.01/-0.33%</w:t>
            </w:r>
          </w:p>
        </w:tc>
        <w:tc>
          <w:tcPr>
            <w:tcW w:type="dxa" w:w="4320"/>
          </w:tcPr>
          <w:p>
            <w:r>
              <w:t>涨停原因：海南自贸区。3天2板。</w:t>
            </w:r>
          </w:p>
        </w:tc>
      </w:tr>
      <w:tr>
        <w:tc>
          <w:tcPr>
            <w:tcW w:type="dxa" w:w="4320"/>
          </w:tcPr>
          <w:p>
            <w:r>
              <w:t>总股本(股)：14.30亿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总市值(亿元)：43.62</w:t>
            </w:r>
          </w:p>
        </w:tc>
        <w:tc>
          <w:tcPr>
            <w:tcW w:type="dxa" w:w="4320"/>
          </w:tcPr>
          <w:p>
            <w:r>
              <w:t>流通市值(亿元)：43.62</w:t>
            </w:r>
          </w:p>
        </w:tc>
      </w:tr>
      <w:tr>
        <w:tc>
          <w:tcPr>
            <w:tcW w:type="dxa" w:w="4320"/>
          </w:tcPr>
          <w:p>
            <w:r>
              <w:t>市盈率(倍)：-120.01</w:t>
            </w:r>
          </w:p>
        </w:tc>
        <w:tc>
          <w:tcPr>
            <w:tcW w:type="dxa" w:w="4320"/>
          </w:tcPr>
          <w:p>
            <w:r>
              <w:t>市净率(倍)：1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-908.69万</w:t>
            </w:r>
          </w:p>
        </w:tc>
        <w:tc>
          <w:tcPr>
            <w:tcW w:type="dxa" w:w="2160"/>
          </w:tcPr>
          <w:p>
            <w:r>
              <w:t>26.49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2,999.20万</w:t>
            </w:r>
          </w:p>
        </w:tc>
        <w:tc>
          <w:tcPr>
            <w:tcW w:type="dxa" w:w="2160"/>
          </w:tcPr>
          <w:p>
            <w:r>
              <w:t>-91.40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-541.48万</w:t>
            </w:r>
          </w:p>
        </w:tc>
        <w:tc>
          <w:tcPr>
            <w:tcW w:type="dxa" w:w="2160"/>
          </w:tcPr>
          <w:p>
            <w:r>
              <w:t>-101.65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主营产品名称：物业管理，房地产出租，体育文化，矿业，矿石，房地产，商铺，房产销售，焦宝石，页岩气，金融平台，体育场馆，商品住宅，基金管理，养老服务，基金管理与投资业务，养老业务</w:t>
            </w:r>
          </w:p>
        </w:tc>
      </w:tr>
      <w:tr>
        <w:tc>
          <w:tcPr>
            <w:tcW w:type="dxa" w:w="8640"/>
          </w:tcPr>
          <w:p>
            <w:r>
              <w:t>所属概念：涉矿，东北亚经贸中心，锌电池，雄安新区，环渤海，雄安金融，锂电池，振兴东北，融资融券，镍氢电池，养老地产，转融券标的，养老概念，住房租赁，REITs，海南自贸区，参股保险，海航系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