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股票简称：甬金股份</w:t>
            </w:r>
          </w:p>
        </w:tc>
        <w:tc>
          <w:tcPr>
            <w:tcW w:type="dxa" w:w="4320"/>
          </w:tcPr>
          <w:p>
            <w:r>
              <w:t>股票代码：603995</w:t>
            </w:r>
          </w:p>
        </w:tc>
      </w:tr>
      <w:tr>
        <w:tc>
          <w:tcPr>
            <w:tcW w:type="dxa" w:w="4320"/>
          </w:tcPr>
          <w:p>
            <w:r>
              <w:t>涨跌幅：32.57  -2.64/-7.50%</w:t>
            </w:r>
          </w:p>
        </w:tc>
        <w:tc>
          <w:tcPr>
            <w:tcW w:type="dxa" w:w="4320"/>
          </w:tcPr>
          <w:p>
            <w:r>
              <w:t>涨停原因：次新股。首板涨停。</w:t>
            </w:r>
          </w:p>
        </w:tc>
      </w:tr>
      <w:tr>
        <w:tc>
          <w:tcPr>
            <w:tcW w:type="dxa" w:w="4320"/>
          </w:tcPr>
          <w:p>
            <w:r>
              <w:t>总股本(股)：2.31亿</w:t>
            </w:r>
          </w:p>
        </w:tc>
        <w:tc>
          <w:tcPr>
            <w:tcW w:type="dxa" w:w="4320"/>
          </w:tcPr>
          <w:p>
            <w:r>
              <w:t>流通比例(%)：25</w:t>
            </w:r>
          </w:p>
        </w:tc>
      </w:tr>
      <w:tr>
        <w:tc>
          <w:tcPr>
            <w:tcW w:type="dxa" w:w="4320"/>
          </w:tcPr>
          <w:p>
            <w:r>
              <w:t>总市值(亿元)：75.13</w:t>
            </w:r>
          </w:p>
        </w:tc>
        <w:tc>
          <w:tcPr>
            <w:tcW w:type="dxa" w:w="4320"/>
          </w:tcPr>
          <w:p>
            <w:r>
              <w:t>流通市值(亿元)：18.78</w:t>
            </w:r>
          </w:p>
        </w:tc>
      </w:tr>
      <w:tr>
        <w:tc>
          <w:tcPr>
            <w:tcW w:type="dxa" w:w="4320"/>
          </w:tcPr>
          <w:p>
            <w:r>
              <w:t>市盈率(倍)：35.08</w:t>
            </w:r>
          </w:p>
        </w:tc>
        <w:tc>
          <w:tcPr>
            <w:tcW w:type="dxa" w:w="4320"/>
          </w:tcPr>
          <w:p>
            <w:r>
              <w:t>市净率(倍)：2.55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5,354.26万</w:t>
            </w:r>
          </w:p>
        </w:tc>
        <w:tc>
          <w:tcPr>
            <w:tcW w:type="dxa" w:w="2160"/>
          </w:tcPr>
          <w:p>
            <w:r>
              <w:t>6.23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3.33亿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1.92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2.39亿</w:t>
            </w:r>
          </w:p>
        </w:tc>
        <w:tc>
          <w:tcPr>
            <w:tcW w:type="dxa" w:w="2160"/>
          </w:tcPr>
          <w:p>
            <w:r>
              <w:t>5.65</w:t>
            </w:r>
          </w:p>
        </w:tc>
        <w:tc>
          <w:tcPr>
            <w:tcW w:type="dxa" w:w="2160"/>
          </w:tcPr>
          <w:p>
            <w:r>
              <w:t>1.38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主营产品名称：精密冷轧不锈钢板带，宽幅冷轧不锈钢板带，宽幅冷轧300系，宽幅冷轧400系，精密冷轧300系，精密冷轧400系</w:t>
            </w:r>
          </w:p>
        </w:tc>
      </w:tr>
      <w:tr>
        <w:tc>
          <w:tcPr>
            <w:tcW w:type="dxa" w:w="8640"/>
          </w:tcPr>
          <w:p>
            <w:r>
              <w:t>所属概念：新股与次新股，非科创次新股，新材料概念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