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股票简称：科恒股份</w:t>
            </w:r>
          </w:p>
        </w:tc>
        <w:tc>
          <w:tcPr>
            <w:tcW w:type="dxa" w:w="4320"/>
          </w:tcPr>
          <w:p>
            <w:r>
              <w:t>股票代码：300340</w:t>
            </w:r>
          </w:p>
        </w:tc>
      </w:tr>
      <w:tr>
        <w:tc>
          <w:tcPr>
            <w:tcW w:type="dxa" w:w="4320"/>
          </w:tcPr>
          <w:p>
            <w:r>
              <w:t>涨跌幅：15.25  +0.19/+1.26%</w:t>
            </w:r>
          </w:p>
        </w:tc>
        <w:tc>
          <w:tcPr>
            <w:tcW w:type="dxa" w:w="4320"/>
          </w:tcPr>
          <w:p>
            <w:r>
              <w:t>涨停原因：新能源汽车。首板涨停。</w:t>
            </w:r>
          </w:p>
        </w:tc>
      </w:tr>
      <w:tr>
        <w:tc>
          <w:tcPr>
            <w:tcW w:type="dxa" w:w="4320"/>
          </w:tcPr>
          <w:p>
            <w:r>
              <w:t>总股本(股)：2.12亿</w:t>
            </w:r>
          </w:p>
        </w:tc>
        <w:tc>
          <w:tcPr>
            <w:tcW w:type="dxa" w:w="4320"/>
          </w:tcPr>
          <w:p>
            <w:r>
              <w:t>流通比例(%)：81.01</w:t>
            </w:r>
          </w:p>
        </w:tc>
      </w:tr>
      <w:tr>
        <w:tc>
          <w:tcPr>
            <w:tcW w:type="dxa" w:w="4320"/>
          </w:tcPr>
          <w:p>
            <w:r>
              <w:t>总市值(亿元)：32.35</w:t>
            </w:r>
          </w:p>
        </w:tc>
        <w:tc>
          <w:tcPr>
            <w:tcW w:type="dxa" w:w="4320"/>
          </w:tcPr>
          <w:p>
            <w:r>
              <w:t>流通市值(亿元)：26.21</w:t>
            </w:r>
          </w:p>
        </w:tc>
      </w:tr>
      <w:tr>
        <w:tc>
          <w:tcPr>
            <w:tcW w:type="dxa" w:w="4320"/>
          </w:tcPr>
          <w:p>
            <w:r>
              <w:t>市盈率(倍)：99.45</w:t>
            </w:r>
          </w:p>
        </w:tc>
        <w:tc>
          <w:tcPr>
            <w:tcW w:type="dxa" w:w="4320"/>
          </w:tcPr>
          <w:p>
            <w:r>
              <w:t>市净率(倍)：2.23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813.30万</w:t>
            </w:r>
          </w:p>
        </w:tc>
        <w:tc>
          <w:tcPr>
            <w:tcW w:type="dxa" w:w="2160"/>
          </w:tcPr>
          <w:p>
            <w:r>
              <w:t>-63.50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3,043.31万</w:t>
            </w:r>
          </w:p>
        </w:tc>
        <w:tc>
          <w:tcPr>
            <w:tcW w:type="dxa" w:w="2160"/>
          </w:tcPr>
          <w:p>
            <w:r>
              <w:t>-42.91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2,039.67万</w:t>
            </w:r>
          </w:p>
        </w:tc>
        <w:tc>
          <w:tcPr>
            <w:tcW w:type="dxa" w:w="2160"/>
          </w:tcPr>
          <w:p>
            <w:r>
              <w:t>-59.93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主营产品名称：新兴领域用稀土发光材料，锂电材料，led工程，节能灯用稀土发光材料，锂离子电池正极材料，锂离子电池自动化生产设备，锂离子电池正极材料和锂离子电池自动化生产设备，光电设备</w:t>
            </w:r>
          </w:p>
        </w:tc>
      </w:tr>
      <w:tr>
        <w:tc>
          <w:tcPr>
            <w:tcW w:type="dxa" w:w="8640"/>
          </w:tcPr>
          <w:p>
            <w:r>
              <w:t>所属概念：稀缺资源，尾气治理，生物医药，正极材料，锂电设备，小金属概念，锂电池，宁德时代概念，稀土永磁，燃料电池，新能源汽车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