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股票简称：精准信息</w:t>
            </w:r>
          </w:p>
        </w:tc>
        <w:tc>
          <w:tcPr>
            <w:tcW w:type="dxa" w:w="4320"/>
          </w:tcPr>
          <w:p>
            <w:r>
              <w:t>股票代码：300099</w:t>
            </w:r>
          </w:p>
        </w:tc>
      </w:tr>
      <w:tr>
        <w:tc>
          <w:tcPr>
            <w:tcW w:type="dxa" w:w="4320"/>
          </w:tcPr>
          <w:p>
            <w:r>
              <w:t>涨跌幅：8.60  -0.84/-8.90%</w:t>
            </w:r>
          </w:p>
        </w:tc>
        <w:tc>
          <w:tcPr>
            <w:tcW w:type="dxa" w:w="4320"/>
          </w:tcPr>
          <w:p>
            <w:r>
              <w:t>跌停原因：资金出逃。</w:t>
            </w:r>
          </w:p>
        </w:tc>
      </w:tr>
      <w:tr>
        <w:tc>
          <w:tcPr>
            <w:tcW w:type="dxa" w:w="4320"/>
          </w:tcPr>
          <w:p>
            <w:r>
              <w:t>总股本(股)：6.67亿</w:t>
            </w:r>
          </w:p>
        </w:tc>
        <w:tc>
          <w:tcPr>
            <w:tcW w:type="dxa" w:w="4320"/>
          </w:tcPr>
          <w:p>
            <w:r>
              <w:t>流通比例(%)：67.59</w:t>
            </w:r>
          </w:p>
        </w:tc>
      </w:tr>
      <w:tr>
        <w:tc>
          <w:tcPr>
            <w:tcW w:type="dxa" w:w="4320"/>
          </w:tcPr>
          <w:p>
            <w:r>
              <w:t>总市值(亿元)：57.39</w:t>
            </w:r>
          </w:p>
        </w:tc>
        <w:tc>
          <w:tcPr>
            <w:tcW w:type="dxa" w:w="4320"/>
          </w:tcPr>
          <w:p>
            <w:r>
              <w:t>流通市值(亿元)：38.79</w:t>
            </w:r>
          </w:p>
        </w:tc>
      </w:tr>
      <w:tr>
        <w:tc>
          <w:tcPr>
            <w:tcW w:type="dxa" w:w="4320"/>
          </w:tcPr>
          <w:p>
            <w:r>
              <w:t>市盈率(倍)：-173.48</w:t>
            </w:r>
          </w:p>
        </w:tc>
        <w:tc>
          <w:tcPr>
            <w:tcW w:type="dxa" w:w="4320"/>
          </w:tcPr>
          <w:p>
            <w:r>
              <w:t>市净率(倍)：3.27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-827.04万</w:t>
            </w:r>
          </w:p>
        </w:tc>
        <w:tc>
          <w:tcPr>
            <w:tcW w:type="dxa" w:w="2160"/>
          </w:tcPr>
          <w:p>
            <w:r>
              <w:t>-125.07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6,408.74万</w:t>
            </w:r>
          </w:p>
        </w:tc>
        <w:tc>
          <w:tcPr>
            <w:tcW w:type="dxa" w:w="2160"/>
          </w:tcPr>
          <w:p>
            <w:r>
              <w:t>-34.24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871.38万</w:t>
            </w:r>
          </w:p>
        </w:tc>
        <w:tc>
          <w:tcPr>
            <w:tcW w:type="dxa" w:w="2160"/>
          </w:tcPr>
          <w:p>
            <w:r>
              <w:t>-64.12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煤矿巷道锚护机具，矿顶板充填材料及工程施工，煤矿井下安全运输系统，矿用产品集成，铁路数据网改造业务，煤矿顶板充填材料，煤矿顶板安全监测系统及相关仪器仪表，煤矿安全监控设备，安监设备，安全监控设备，监测设备，安全监控，煤安设备，填充材料，安全监测系统，监控设备，通讯，煤矿顶板充填材料及工程施工，煤矿井下运输系统，矿山通讯产品，交通数据集成产品，大数据集成及服务，机顶盒产品，技术服务，蓝牙数字压力计，电子电气设备集成系统，煤矿顶板安全监测系统及相关仪器仪表等产品，军工产品，轨道交通信息化产品及服务，煤矿顶板安全监测系统及相关仪器表等产品</w:t>
            </w:r>
          </w:p>
        </w:tc>
      </w:tr>
      <w:tr>
        <w:tc>
          <w:tcPr>
            <w:tcW w:type="dxa" w:w="8640"/>
          </w:tcPr>
          <w:p>
            <w:r>
              <w:t>所属概念：煤矿安全，军民融合，区块链，军工，燃料电池，特高压，芯片概念，融资融券，转融券标的，空铁WIFI，新能源汽车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