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股票简称：精工钢构</w:t>
            </w:r>
          </w:p>
        </w:tc>
        <w:tc>
          <w:tcPr>
            <w:tcW w:type="dxa" w:w="4320"/>
          </w:tcPr>
          <w:p>
            <w:r>
              <w:t>股票代码：600496</w:t>
            </w:r>
          </w:p>
        </w:tc>
      </w:tr>
      <w:tr>
        <w:tc>
          <w:tcPr>
            <w:tcW w:type="dxa" w:w="4320"/>
          </w:tcPr>
          <w:p>
            <w:r>
              <w:t>涨跌幅：6.12  +0.41/+7.18%</w:t>
            </w:r>
          </w:p>
        </w:tc>
        <w:tc>
          <w:tcPr>
            <w:tcW w:type="dxa" w:w="4320"/>
          </w:tcPr>
          <w:p>
            <w:r>
              <w:t>涨停原因：业绩增长。3天2板。</w:t>
            </w:r>
          </w:p>
        </w:tc>
      </w:tr>
      <w:tr>
        <w:tc>
          <w:tcPr>
            <w:tcW w:type="dxa" w:w="4320"/>
          </w:tcPr>
          <w:p>
            <w:r>
              <w:t>总股本(股)：18.10亿</w:t>
            </w:r>
          </w:p>
        </w:tc>
        <w:tc>
          <w:tcPr>
            <w:tcW w:type="dxa" w:w="4320"/>
          </w:tcPr>
          <w:p>
            <w:r>
              <w:t>流通比例(%)：83.43</w:t>
            </w:r>
          </w:p>
        </w:tc>
      </w:tr>
      <w:tr>
        <w:tc>
          <w:tcPr>
            <w:tcW w:type="dxa" w:w="4320"/>
          </w:tcPr>
          <w:p>
            <w:r>
              <w:t>总市值(亿元)：110.8</w:t>
            </w:r>
          </w:p>
        </w:tc>
        <w:tc>
          <w:tcPr>
            <w:tcW w:type="dxa" w:w="4320"/>
          </w:tcPr>
          <w:p>
            <w:r>
              <w:t>流通市值(亿元)：92.44</w:t>
            </w:r>
          </w:p>
        </w:tc>
      </w:tr>
      <w:tr>
        <w:tc>
          <w:tcPr>
            <w:tcW w:type="dxa" w:w="4320"/>
          </w:tcPr>
          <w:p>
            <w:r>
              <w:t>市盈率(倍)：21.81</w:t>
            </w:r>
          </w:p>
        </w:tc>
        <w:tc>
          <w:tcPr>
            <w:tcW w:type="dxa" w:w="4320"/>
          </w:tcPr>
          <w:p>
            <w:r>
              <w:t>市净率(倍)：2.06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1.27亿</w:t>
            </w:r>
          </w:p>
        </w:tc>
        <w:tc>
          <w:tcPr>
            <w:tcW w:type="dxa" w:w="2160"/>
          </w:tcPr>
          <w:p>
            <w:r>
              <w:t>20.45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4.03亿</w:t>
            </w:r>
          </w:p>
        </w:tc>
        <w:tc>
          <w:tcPr>
            <w:tcW w:type="dxa" w:w="2160"/>
          </w:tcPr>
          <w:p>
            <w:r>
              <w:t>125.50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3.09亿</w:t>
            </w:r>
          </w:p>
        </w:tc>
        <w:tc>
          <w:tcPr>
            <w:tcW w:type="dxa" w:w="2160"/>
          </w:tcPr>
          <w:p>
            <w:r>
              <w:t>110.21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空间大跨度钢结构，多高层钢结构产品，围护及幕墙系统，紧固件，围护系统，轻型钢结构，房产，火车站，铝板，钢结构，建筑工程，轻钢，钢构，光伏电站，建筑，家居，轻型钢结构产品，空间大跨度钢结构产品，重型钢结构产品，围护系统产品，紧固件产品，工业建筑，商业建筑，公共建筑，epc业务</w:t>
            </w:r>
          </w:p>
        </w:tc>
      </w:tr>
      <w:tr>
        <w:tc>
          <w:tcPr>
            <w:tcW w:type="dxa" w:w="8640"/>
          </w:tcPr>
          <w:p>
            <w:r>
              <w:t>所属概念：冬奥会，新型城镇化，钢结构，装配式建筑，参股民营银行，安徽城镇化，分布式发电，空中巴士，杭州亚运会，雄安新区，数据中心，NMN概念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