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股票简称：联创光电</w:t>
            </w:r>
          </w:p>
        </w:tc>
        <w:tc>
          <w:tcPr>
            <w:tcW w:type="dxa" w:w="4320"/>
          </w:tcPr>
          <w:p>
            <w:r>
              <w:t>股票代码：600363</w:t>
            </w:r>
          </w:p>
        </w:tc>
      </w:tr>
      <w:tr>
        <w:tc>
          <w:tcPr>
            <w:tcW w:type="dxa" w:w="4320"/>
          </w:tcPr>
          <w:p>
            <w:r>
              <w:t>涨跌幅：20.62  +0.14/+0.68%</w:t>
            </w:r>
          </w:p>
        </w:tc>
        <w:tc>
          <w:tcPr>
            <w:tcW w:type="dxa" w:w="4320"/>
          </w:tcPr>
          <w:p>
            <w:r>
              <w:t>跌停原因：资金出逃。</w:t>
            </w:r>
          </w:p>
        </w:tc>
      </w:tr>
      <w:tr>
        <w:tc>
          <w:tcPr>
            <w:tcW w:type="dxa" w:w="4320"/>
          </w:tcPr>
          <w:p>
            <w:r>
              <w:t>总股本(股)：4.43亿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总市值(亿元)：91.44</w:t>
            </w:r>
          </w:p>
        </w:tc>
        <w:tc>
          <w:tcPr>
            <w:tcW w:type="dxa" w:w="4320"/>
          </w:tcPr>
          <w:p>
            <w:r>
              <w:t>流通市值(亿元)：91.44</w:t>
            </w:r>
          </w:p>
        </w:tc>
      </w:tr>
      <w:tr>
        <w:tc>
          <w:tcPr>
            <w:tcW w:type="dxa" w:w="4320"/>
          </w:tcPr>
          <w:p>
            <w:r>
              <w:t>市盈率(倍)：110.97</w:t>
            </w:r>
          </w:p>
        </w:tc>
        <w:tc>
          <w:tcPr>
            <w:tcW w:type="dxa" w:w="4320"/>
          </w:tcPr>
          <w:p>
            <w:r>
              <w:t>市净率(倍)：3.47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2,060.11万</w:t>
            </w:r>
          </w:p>
        </w:tc>
        <w:tc>
          <w:tcPr>
            <w:tcW w:type="dxa" w:w="2160"/>
          </w:tcPr>
          <w:p>
            <w:r>
              <w:t>-29.45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1.95亿</w:t>
            </w:r>
          </w:p>
        </w:tc>
        <w:tc>
          <w:tcPr>
            <w:tcW w:type="dxa" w:w="2160"/>
          </w:tcPr>
          <w:p>
            <w:r>
              <w:t>-14.19</w:t>
            </w:r>
          </w:p>
        </w:tc>
        <w:tc>
          <w:tcPr>
            <w:tcW w:type="dxa" w:w="2160"/>
          </w:tcPr>
          <w:p>
            <w:r>
              <w:t>0.44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1.55亿</w:t>
            </w:r>
          </w:p>
        </w:tc>
        <w:tc>
          <w:tcPr>
            <w:tcW w:type="dxa" w:w="2160"/>
          </w:tcPr>
          <w:p>
            <w:r>
              <w:t>-11.69</w:t>
            </w:r>
          </w:p>
        </w:tc>
        <w:tc>
          <w:tcPr>
            <w:tcW w:type="dxa" w:w="2160"/>
          </w:tcPr>
          <w:p>
            <w:r>
              <w:t>0.35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主营产品名称：线缆，电脑及软件，光电器件及应用产品，超导设备，红外led，红外芯片，led，器件，背光源，显示模块，家电智能控制部件，照明光源（灯具），移动通信电缆，光缆，有限电视电缆，电力电缆</w:t>
            </w:r>
          </w:p>
        </w:tc>
      </w:tr>
      <w:tr>
        <w:tc>
          <w:tcPr>
            <w:tcW w:type="dxa" w:w="8640"/>
          </w:tcPr>
          <w:p>
            <w:r>
              <w:t>所属概念：航天军工，合同能源管理，参股新三板，体感3D，眼动技术，虚拟现实，全息手机，元器件，体感交互，虹膜识别，嫦娥概念，移动互联网，融资融券，沪股通，转融券标的，VR设备，OLED，节能照明，柔性屏，新能源汽车，华为概念，军工，富时罗素概念，激光，富时罗素概念股，标普道琼斯A股，超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