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股票简称：航发科技</w:t>
            </w:r>
          </w:p>
        </w:tc>
        <w:tc>
          <w:tcPr>
            <w:tcW w:type="dxa" w:w="4320"/>
          </w:tcPr>
          <w:p>
            <w:r>
              <w:t>股票代码：600391</w:t>
            </w:r>
          </w:p>
        </w:tc>
      </w:tr>
      <w:tr>
        <w:tc>
          <w:tcPr>
            <w:tcW w:type="dxa" w:w="4320"/>
          </w:tcPr>
          <w:p>
            <w:r>
              <w:t>涨跌幅：31.18  +0.42/+1.37%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总股本(股)：3.30亿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总市值(亿元)：102.93</w:t>
            </w:r>
          </w:p>
        </w:tc>
        <w:tc>
          <w:tcPr>
            <w:tcW w:type="dxa" w:w="4320"/>
          </w:tcPr>
          <w:p>
            <w:r>
              <w:t>流通市值(亿元)：102.93</w:t>
            </w:r>
          </w:p>
        </w:tc>
      </w:tr>
      <w:tr>
        <w:tc>
          <w:tcPr>
            <w:tcW w:type="dxa" w:w="4320"/>
          </w:tcPr>
          <w:p>
            <w:r>
              <w:t>市盈率(倍)：-77.55</w:t>
            </w:r>
          </w:p>
        </w:tc>
        <w:tc>
          <w:tcPr>
            <w:tcW w:type="dxa" w:w="4320"/>
          </w:tcPr>
          <w:p>
            <w:r>
              <w:t>市净率(倍)：7.17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-3,318.44万</w:t>
            </w:r>
          </w:p>
        </w:tc>
        <w:tc>
          <w:tcPr>
            <w:tcW w:type="dxa" w:w="2160"/>
          </w:tcPr>
          <w:p>
            <w:r>
              <w:t>-42.76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2,257.75万</w:t>
            </w:r>
          </w:p>
        </w:tc>
        <w:tc>
          <w:tcPr>
            <w:tcW w:type="dxa" w:w="2160"/>
          </w:tcPr>
          <w:p>
            <w:r>
              <w:t>107.45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-2,031.23万</w:t>
            </w:r>
          </w:p>
        </w:tc>
        <w:tc>
          <w:tcPr>
            <w:tcW w:type="dxa" w:w="2160"/>
          </w:tcPr>
          <w:p>
            <w:r>
              <w:t>73.73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燃气轮机零部件，空调壳体件，石油机械零部件，纺织机械，轴承，航空发动机零部件，发动机零部件，房地产项目，航空发动机，外贸业务，转包业务，外贸，房地产业务，发动机，外贸航空，高端轴承，零部件，主机，发动机配件，飞机，内贸航空及衍生产品，工业民品，外贸产品</w:t>
            </w:r>
          </w:p>
        </w:tc>
      </w:tr>
      <w:tr>
        <w:tc>
          <w:tcPr>
            <w:tcW w:type="dxa" w:w="8640"/>
          </w:tcPr>
          <w:p>
            <w:r>
              <w:t>所属概念：成渝特区，南海，高端装备，融资融券，航天军工，大国重器标的，航空发动机，转融券标的，军工，国产航母，大飞机，中航系，富时罗素概念股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