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股票简称：莱宝高科</w:t>
            </w:r>
          </w:p>
        </w:tc>
        <w:tc>
          <w:tcPr>
            <w:tcW w:type="dxa" w:w="4320"/>
          </w:tcPr>
          <w:p>
            <w:r>
              <w:t>股票代码：002106</w:t>
            </w:r>
          </w:p>
        </w:tc>
      </w:tr>
      <w:tr>
        <w:tc>
          <w:tcPr>
            <w:tcW w:type="dxa" w:w="4320"/>
          </w:tcPr>
          <w:p>
            <w:r>
              <w:t>涨跌幅：16.45  +0.09/+0.55%</w:t>
            </w:r>
          </w:p>
        </w:tc>
        <w:tc>
          <w:tcPr>
            <w:tcW w:type="dxa" w:w="4320"/>
          </w:tcPr>
          <w:p>
            <w:r>
              <w:t>跌停原因：资金获利了结。</w:t>
            </w:r>
          </w:p>
        </w:tc>
      </w:tr>
      <w:tr>
        <w:tc>
          <w:tcPr>
            <w:tcW w:type="dxa" w:w="4320"/>
          </w:tcPr>
          <w:p>
            <w:r>
              <w:t>总股本(股)：7.06亿</w:t>
            </w:r>
          </w:p>
        </w:tc>
        <w:tc>
          <w:tcPr>
            <w:tcW w:type="dxa" w:w="4320"/>
          </w:tcPr>
          <w:p>
            <w:r>
              <w:t>流通比例(%)：99.72</w:t>
            </w:r>
          </w:p>
        </w:tc>
      </w:tr>
      <w:tr>
        <w:tc>
          <w:tcPr>
            <w:tcW w:type="dxa" w:w="4320"/>
          </w:tcPr>
          <w:p>
            <w:r>
              <w:t>总市值(亿元)：116.11</w:t>
            </w:r>
          </w:p>
        </w:tc>
        <w:tc>
          <w:tcPr>
            <w:tcW w:type="dxa" w:w="4320"/>
          </w:tcPr>
          <w:p>
            <w:r>
              <w:t>流通市值(亿元)：115.78</w:t>
            </w:r>
          </w:p>
        </w:tc>
      </w:tr>
      <w:tr>
        <w:tc>
          <w:tcPr>
            <w:tcW w:type="dxa" w:w="4320"/>
          </w:tcPr>
          <w:p>
            <w:r>
              <w:t>市盈率(倍)：43.31</w:t>
            </w:r>
          </w:p>
        </w:tc>
        <w:tc>
          <w:tcPr>
            <w:tcW w:type="dxa" w:w="4320"/>
          </w:tcPr>
          <w:p>
            <w:r>
              <w:t>市净率(倍)：2.82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6,701.62万</w:t>
            </w:r>
          </w:p>
        </w:tc>
        <w:tc>
          <w:tcPr>
            <w:tcW w:type="dxa" w:w="2160"/>
          </w:tcPr>
          <w:p>
            <w:r>
              <w:t>733.87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2.82亿</w:t>
            </w:r>
          </w:p>
        </w:tc>
        <w:tc>
          <w:tcPr>
            <w:tcW w:type="dxa" w:w="2160"/>
          </w:tcPr>
          <w:p>
            <w:r>
              <w:t>25.30</w:t>
            </w:r>
          </w:p>
        </w:tc>
        <w:tc>
          <w:tcPr>
            <w:tcW w:type="dxa" w:w="2160"/>
          </w:tcPr>
          <w:p>
            <w:r>
              <w:t>0.40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2.28亿</w:t>
            </w:r>
          </w:p>
        </w:tc>
        <w:tc>
          <w:tcPr>
            <w:tcW w:type="dxa" w:w="2160"/>
          </w:tcPr>
          <w:p>
            <w:r>
              <w:t>32.45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彩色滤光片，tft-lcd显示板，触摸屏面板，触摸屏模组，一体化电容式触摸屏，全贴合产品，触摸屏，触摸屏包括触摸屏面板，ito导电玻璃，小尺寸面板，中小尺寸液晶面板，中小尺寸lcd，手机，lcd，tft，彩色电子纸，电子纸，小尺寸电容屏，中尺寸电容屏，电子产品，中大尺寸电容式触摸屏，大尺寸电容屏，电容式触摸屏，平板电脑，大尺寸触摸屏，高端触摸屏，电容屏，面板，一体化触摸屏，ultrabook，超级本，石墨烯</w:t>
            </w:r>
          </w:p>
        </w:tc>
      </w:tr>
      <w:tr>
        <w:tc>
          <w:tcPr>
            <w:tcW w:type="dxa" w:w="8640"/>
          </w:tcPr>
          <w:p>
            <w:r>
              <w:t>所属概念：石墨烯，WIN升级，联想概念，新材料概念，全息手机，太阳能，智能终端，融资融券，转融券标的，人民币贬值受益，触摸屏，柔性屏，华为概念，光伏概念，深股通，半年报预增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