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股票简称：金盾股份</w:t>
            </w:r>
          </w:p>
        </w:tc>
        <w:tc>
          <w:tcPr>
            <w:tcW w:type="dxa" w:w="4320"/>
          </w:tcPr>
          <w:p>
            <w:r>
              <w:t>股票代码：300411</w:t>
            </w:r>
          </w:p>
        </w:tc>
      </w:tr>
      <w:tr>
        <w:tc>
          <w:tcPr>
            <w:tcW w:type="dxa" w:w="4320"/>
          </w:tcPr>
          <w:p>
            <w:r>
              <w:t>涨跌幅：12.08  +0.21/+1.77%</w:t>
            </w:r>
          </w:p>
        </w:tc>
        <w:tc>
          <w:tcPr>
            <w:tcW w:type="dxa" w:w="4320"/>
          </w:tcPr>
          <w:p>
            <w:r>
              <w:t>涨停原因：军工。首板涨停。</w:t>
            </w:r>
          </w:p>
        </w:tc>
      </w:tr>
      <w:tr>
        <w:tc>
          <w:tcPr>
            <w:tcW w:type="dxa" w:w="4320"/>
          </w:tcPr>
          <w:p>
            <w:r>
              <w:t>总股本(股)：4.56亿</w:t>
            </w:r>
          </w:p>
        </w:tc>
        <w:tc>
          <w:tcPr>
            <w:tcW w:type="dxa" w:w="4320"/>
          </w:tcPr>
          <w:p>
            <w:r>
              <w:t>流通比例(%)：32.41</w:t>
            </w:r>
          </w:p>
        </w:tc>
      </w:tr>
      <w:tr>
        <w:tc>
          <w:tcPr>
            <w:tcW w:type="dxa" w:w="4320"/>
          </w:tcPr>
          <w:p>
            <w:r>
              <w:t>总市值(亿元)：55.13</w:t>
            </w:r>
          </w:p>
        </w:tc>
        <w:tc>
          <w:tcPr>
            <w:tcW w:type="dxa" w:w="4320"/>
          </w:tcPr>
          <w:p>
            <w:r>
              <w:t>流通市值(亿元)：17.87</w:t>
            </w:r>
          </w:p>
        </w:tc>
      </w:tr>
      <w:tr>
        <w:tc>
          <w:tcPr>
            <w:tcW w:type="dxa" w:w="4320"/>
          </w:tcPr>
          <w:p>
            <w:r>
              <w:t>市盈率(倍)：19.64</w:t>
            </w:r>
          </w:p>
        </w:tc>
        <w:tc>
          <w:tcPr>
            <w:tcW w:type="dxa" w:w="4320"/>
          </w:tcPr>
          <w:p>
            <w:r>
              <w:t>市净率(倍)：3.46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7,016.59万</w:t>
            </w:r>
          </w:p>
        </w:tc>
        <w:tc>
          <w:tcPr>
            <w:tcW w:type="dxa" w:w="2160"/>
          </w:tcPr>
          <w:p>
            <w:r>
              <w:t>937.74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5,157.17万</w:t>
            </w:r>
          </w:p>
        </w:tc>
        <w:tc>
          <w:tcPr>
            <w:tcW w:type="dxa" w:w="2160"/>
          </w:tcPr>
          <w:p>
            <w:r>
              <w:t>102.93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1.40亿</w:t>
            </w:r>
          </w:p>
        </w:tc>
        <w:tc>
          <w:tcPr>
            <w:tcW w:type="dxa" w:w="2160"/>
          </w:tcPr>
          <w:p>
            <w:r>
              <w:t>119.51</w:t>
            </w:r>
          </w:p>
        </w:tc>
        <w:tc>
          <w:tcPr>
            <w:tcW w:type="dxa" w:w="2160"/>
          </w:tcPr>
          <w:p>
            <w:r>
              <w:t>0.30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主营产品名称：地铁隧道轴流风机，隧道射流风机，核级离心风机，ap1000)通风空调系统，地铁隧道智能通风系统，三代核电(，核电核能，三代核电（ ap1000）通风空调系统，地铁类产品，隧道类产品，民用与工业类产品，三代核电（ap1000）通风空调系统，核电类产品，船用类产品，风机配件及维修，通风与空气处理系统设备，伪装遮障，伪装涂料及数码迷彩涂装工程服务，红外成像仪，紫外成像仪，气体成像仪，机电设备安装工程，公路交通工程，房屋建筑工程，电力设备运行，维护，保养以及消防设备，通风制冷设备等辅助设备的销售，工业民用通风设备专用制造设备，消声器</w:t>
            </w:r>
          </w:p>
        </w:tc>
      </w:tr>
      <w:tr>
        <w:tc>
          <w:tcPr>
            <w:tcW w:type="dxa" w:w="8640"/>
          </w:tcPr>
          <w:p>
            <w:r>
              <w:t>所属概念：高端装备，核电，军工，无人驾驶，安防，轨道交通，无人机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