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股票简称：金螳螂</w:t>
            </w:r>
          </w:p>
        </w:tc>
        <w:tc>
          <w:tcPr>
            <w:tcW w:type="dxa" w:w="4320"/>
          </w:tcPr>
          <w:p>
            <w:r>
              <w:t>股票代码：002081</w:t>
            </w:r>
          </w:p>
        </w:tc>
      </w:tr>
      <w:tr>
        <w:tc>
          <w:tcPr>
            <w:tcW w:type="dxa" w:w="4320"/>
          </w:tcPr>
          <w:p>
            <w:r>
              <w:t>涨跌幅：11.88  +0.12/+1.02%</w:t>
            </w:r>
          </w:p>
        </w:tc>
        <w:tc>
          <w:tcPr>
            <w:tcW w:type="dxa" w:w="4320"/>
          </w:tcPr>
          <w:p>
            <w:r>
              <w:t>涨停原因：装配式建筑。3天3板。</w:t>
            </w:r>
          </w:p>
        </w:tc>
      </w:tr>
      <w:tr>
        <w:tc>
          <w:tcPr>
            <w:tcW w:type="dxa" w:w="4320"/>
          </w:tcPr>
          <w:p>
            <w:r>
              <w:t>总股本(股)：26.83亿</w:t>
            </w:r>
          </w:p>
        </w:tc>
        <w:tc>
          <w:tcPr>
            <w:tcW w:type="dxa" w:w="4320"/>
          </w:tcPr>
          <w:p>
            <w:r>
              <w:t>流通比例(%)：97.08</w:t>
            </w:r>
          </w:p>
        </w:tc>
      </w:tr>
      <w:tr>
        <w:tc>
          <w:tcPr>
            <w:tcW w:type="dxa" w:w="4320"/>
          </w:tcPr>
          <w:p>
            <w:r>
              <w:t>总市值(亿元)：318.78</w:t>
            </w:r>
          </w:p>
        </w:tc>
        <w:tc>
          <w:tcPr>
            <w:tcW w:type="dxa" w:w="4320"/>
          </w:tcPr>
          <w:p>
            <w:r>
              <w:t>流通市值(亿元)：309.49</w:t>
            </w:r>
          </w:p>
        </w:tc>
      </w:tr>
      <w:tr>
        <w:tc>
          <w:tcPr>
            <w:tcW w:type="dxa" w:w="4320"/>
          </w:tcPr>
          <w:p>
            <w:r>
              <w:t>市盈率(倍)：23.79</w:t>
            </w:r>
          </w:p>
        </w:tc>
        <w:tc>
          <w:tcPr>
            <w:tcW w:type="dxa" w:w="4320"/>
          </w:tcPr>
          <w:p>
            <w:r>
              <w:t>市净率(倍)：2.05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3.35亿</w:t>
            </w:r>
          </w:p>
        </w:tc>
        <w:tc>
          <w:tcPr>
            <w:tcW w:type="dxa" w:w="2160"/>
          </w:tcPr>
          <w:p>
            <w:r>
              <w:t>-44.27</w:t>
            </w:r>
          </w:p>
        </w:tc>
        <w:tc>
          <w:tcPr>
            <w:tcW w:type="dxa" w:w="2160"/>
          </w:tcPr>
          <w:p>
            <w:r>
              <w:t>0.12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23.49亿</w:t>
            </w:r>
          </w:p>
        </w:tc>
        <w:tc>
          <w:tcPr>
            <w:tcW w:type="dxa" w:w="2160"/>
          </w:tcPr>
          <w:p>
            <w:r>
              <w:t>10.64</w:t>
            </w:r>
          </w:p>
        </w:tc>
        <w:tc>
          <w:tcPr>
            <w:tcW w:type="dxa" w:w="2160"/>
          </w:tcPr>
          <w:p>
            <w:r>
              <w:t>0.88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17.50亿</w:t>
            </w:r>
          </w:p>
        </w:tc>
        <w:tc>
          <w:tcPr>
            <w:tcW w:type="dxa" w:w="2160"/>
          </w:tcPr>
          <w:p>
            <w:r>
              <w:t>10.47</w:t>
            </w:r>
          </w:p>
        </w:tc>
        <w:tc>
          <w:tcPr>
            <w:tcW w:type="dxa" w:w="2160"/>
          </w:tcPr>
          <w:p>
            <w:r>
              <w:t>0.65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主营产品名称：设计，家具，幕墙，技术服务，建筑幕墙，建筑装饰工程，装饰，商品房，幕墙业务，园林，装修，住宅销售，医院，家居，建筑防水材料，电子商务，金融服务，互联网家装</w:t>
            </w:r>
          </w:p>
        </w:tc>
      </w:tr>
      <w:tr>
        <w:tc>
          <w:tcPr>
            <w:tcW w:type="dxa" w:w="8640"/>
          </w:tcPr>
          <w:p>
            <w:r>
              <w:t>所属概念：体育产业，电子商务，装配式建筑，建筑节能，PPP概念，恒大概念，融资融券，互联网家装，深股通，转融券标的，富时罗素概念，富时罗素概念股，MSCI概念，标普道琼斯A股，互联网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