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股票简称：中鼎股份</w:t>
            </w:r>
          </w:p>
        </w:tc>
        <w:tc>
          <w:tcPr>
            <w:tcW w:type="dxa" w:w="4320"/>
          </w:tcPr>
          <w:p>
            <w:r>
              <w:t>股票代码：000887</w:t>
            </w:r>
          </w:p>
        </w:tc>
      </w:tr>
      <w:tr>
        <w:tc>
          <w:tcPr>
            <w:tcW w:type="dxa" w:w="4320"/>
          </w:tcPr>
          <w:p>
            <w:r>
              <w:t>涨跌幅：12.45  +1.13/+9.98%</w:t>
            </w:r>
          </w:p>
        </w:tc>
        <w:tc>
          <w:tcPr>
            <w:tcW w:type="dxa" w:w="4320"/>
          </w:tcPr>
          <w:p>
            <w:r>
              <w:t>涨停原因：新能源汽车。首板涨停。</w:t>
            </w:r>
          </w:p>
        </w:tc>
      </w:tr>
      <w:tr>
        <w:tc>
          <w:tcPr>
            <w:tcW w:type="dxa" w:w="4320"/>
          </w:tcPr>
          <w:p>
            <w:r>
              <w:t>总股本(股)：12.21亿</w:t>
            </w:r>
          </w:p>
        </w:tc>
        <w:tc>
          <w:tcPr>
            <w:tcW w:type="dxa" w:w="4320"/>
          </w:tcPr>
          <w:p>
            <w:r>
              <w:t>流通比例(%)：99.78</w:t>
            </w:r>
          </w:p>
        </w:tc>
      </w:tr>
      <w:tr>
        <w:tc>
          <w:tcPr>
            <w:tcW w:type="dxa" w:w="4320"/>
          </w:tcPr>
          <w:p>
            <w:r>
              <w:t>总市值(亿元)：151.99</w:t>
            </w:r>
          </w:p>
        </w:tc>
        <w:tc>
          <w:tcPr>
            <w:tcW w:type="dxa" w:w="4320"/>
          </w:tcPr>
          <w:p>
            <w:r>
              <w:t>流通市值(亿元)：151.66</w:t>
            </w:r>
          </w:p>
        </w:tc>
      </w:tr>
      <w:tr>
        <w:tc>
          <w:tcPr>
            <w:tcW w:type="dxa" w:w="4320"/>
          </w:tcPr>
          <w:p>
            <w:r>
              <w:t>市盈率(倍)：23.25</w:t>
            </w:r>
          </w:p>
        </w:tc>
        <w:tc>
          <w:tcPr>
            <w:tcW w:type="dxa" w:w="4320"/>
          </w:tcPr>
          <w:p>
            <w:r>
              <w:t>市净率(倍)：1.74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1.63亿</w:t>
            </w:r>
          </w:p>
        </w:tc>
        <w:tc>
          <w:tcPr>
            <w:tcW w:type="dxa" w:w="2160"/>
          </w:tcPr>
          <w:p>
            <w:r>
              <w:t>-47.10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6.02亿</w:t>
            </w:r>
          </w:p>
        </w:tc>
        <w:tc>
          <w:tcPr>
            <w:tcW w:type="dxa" w:w="2160"/>
          </w:tcPr>
          <w:p>
            <w:r>
              <w:t>-46.03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6.00亿</w:t>
            </w:r>
          </w:p>
        </w:tc>
        <w:tc>
          <w:tcPr>
            <w:tcW w:type="dxa" w:w="2160"/>
          </w:tcPr>
          <w:p>
            <w:r>
              <w:t>-42.86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混炼胶，橡胶制品，改性橡胶，特种橡胶制品，特种橡胶，整车，新材料，特种橡胶件，高端橡胶件，工程机械，橡胶零部件，油封，零部件，高端密封件，高端发动机，橡胶件，发动机，高铁，高铁业务，环保发动机，高端油封，密封件，无人机发动机，胶管，材料销售，冷却系统，降噪减振底盘系统，密封系统，空气悬挂及电机系统，其他</w:t>
            </w:r>
          </w:p>
        </w:tc>
      </w:tr>
      <w:tr>
        <w:tc>
          <w:tcPr>
            <w:tcW w:type="dxa" w:w="8640"/>
          </w:tcPr>
          <w:p>
            <w:r>
              <w:t>所属概念：汽车电子，军工，无人机，航天军工，电动汽车，智能汽车，融资融券，军用无人机，深股通，转融券标的，宁德时代概念，高铁，新能源汽车，特斯拉，充电桩，医疗器械概念，燃料电池，富时罗素概念，富时罗素概念股，标普道琼斯A股，MSCI预期，互联网，蔚来汽车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