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股票简称：京粮控股</w:t>
            </w:r>
          </w:p>
        </w:tc>
        <w:tc>
          <w:tcPr>
            <w:tcW w:type="dxa" w:w="4320"/>
          </w:tcPr>
          <w:p>
            <w:r>
              <w:t>股票代码：000505</w:t>
            </w:r>
          </w:p>
        </w:tc>
      </w:tr>
      <w:tr>
        <w:tc>
          <w:tcPr>
            <w:tcW w:type="dxa" w:w="4320"/>
          </w:tcPr>
          <w:p>
            <w:r>
              <w:t>涨跌幅：10.38  +0.94/+9.96%</w:t>
            </w:r>
          </w:p>
        </w:tc>
        <w:tc>
          <w:tcPr>
            <w:tcW w:type="dxa" w:w="4320"/>
          </w:tcPr>
          <w:p>
            <w:r>
              <w:t>涨停原因：海南自贸区。3天2板。</w:t>
            </w:r>
          </w:p>
        </w:tc>
      </w:tr>
      <w:tr>
        <w:tc>
          <w:tcPr>
            <w:tcW w:type="dxa" w:w="4320"/>
          </w:tcPr>
          <w:p>
            <w:r>
              <w:t>总股本(股)：7.27亿</w:t>
            </w:r>
          </w:p>
        </w:tc>
        <w:tc>
          <w:tcPr>
            <w:tcW w:type="dxa" w:w="4320"/>
          </w:tcPr>
          <w:p>
            <w:r>
              <w:t>流通比例(%)：64.81</w:t>
            </w:r>
          </w:p>
        </w:tc>
      </w:tr>
      <w:tr>
        <w:tc>
          <w:tcPr>
            <w:tcW w:type="dxa" w:w="4320"/>
          </w:tcPr>
          <w:p>
            <w:r>
              <w:t>总市值(亿元)：70.5</w:t>
            </w:r>
          </w:p>
        </w:tc>
        <w:tc>
          <w:tcPr>
            <w:tcW w:type="dxa" w:w="4320"/>
          </w:tcPr>
          <w:p>
            <w:r>
              <w:t>流通市值(亿元)：42.16</w:t>
            </w:r>
          </w:p>
        </w:tc>
      </w:tr>
      <w:tr>
        <w:tc>
          <w:tcPr>
            <w:tcW w:type="dxa" w:w="4320"/>
          </w:tcPr>
          <w:p>
            <w:r>
              <w:t>市盈率(倍)：68.21</w:t>
            </w:r>
          </w:p>
        </w:tc>
        <w:tc>
          <w:tcPr>
            <w:tcW w:type="dxa" w:w="4320"/>
          </w:tcPr>
          <w:p>
            <w:r>
              <w:t>市净率(倍)：3.1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2,765.50万</w:t>
            </w:r>
          </w:p>
        </w:tc>
        <w:tc>
          <w:tcPr>
            <w:tcW w:type="dxa" w:w="2160"/>
          </w:tcPr>
          <w:p>
            <w:r>
              <w:t>5.11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1.33亿</w:t>
            </w:r>
          </w:p>
        </w:tc>
        <w:tc>
          <w:tcPr>
            <w:tcW w:type="dxa" w:w="2160"/>
          </w:tcPr>
          <w:p>
            <w:r>
              <w:t>-20.61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8,535.19万</w:t>
            </w:r>
          </w:p>
        </w:tc>
        <w:tc>
          <w:tcPr>
            <w:tcW w:type="dxa" w:w="2160"/>
          </w:tcPr>
          <w:p>
            <w:r>
              <w:t>-16.54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主营产品名称：物业管理服务，旅游酒店服务，房地产，油脂，粮食贸易，食品加工，大豆油，菜籽油，葵花籽油，香油，麻酱，薯片，糕点及面包</w:t>
            </w:r>
          </w:p>
        </w:tc>
      </w:tr>
      <w:tr>
        <w:tc>
          <w:tcPr>
            <w:tcW w:type="dxa" w:w="8640"/>
          </w:tcPr>
          <w:p>
            <w:r>
              <w:t>所属概念：三沙，地方国资改革，融资融券，网红经济，转融券标的，海南自贸区，北京国资改革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