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股票简称：协鑫集成</w:t>
            </w:r>
          </w:p>
        </w:tc>
        <w:tc>
          <w:tcPr>
            <w:tcW w:type="dxa" w:w="4320"/>
          </w:tcPr>
          <w:p>
            <w:r>
              <w:t>股票代码：002506</w:t>
            </w:r>
          </w:p>
        </w:tc>
      </w:tr>
      <w:tr>
        <w:tc>
          <w:tcPr>
            <w:tcW w:type="dxa" w:w="4320"/>
          </w:tcPr>
          <w:p>
            <w:r>
              <w:t>涨跌幅：5.68  +0.52/+10.08%</w:t>
            </w:r>
          </w:p>
        </w:tc>
        <w:tc>
          <w:tcPr>
            <w:tcW w:type="dxa" w:w="4320"/>
          </w:tcPr>
          <w:p>
            <w:r>
              <w:t>涨停原因：集成电路概念+光伏概念。9天7板。</w:t>
            </w:r>
          </w:p>
        </w:tc>
      </w:tr>
      <w:tr>
        <w:tc>
          <w:tcPr>
            <w:tcW w:type="dxa" w:w="4320"/>
          </w:tcPr>
          <w:p>
            <w:r>
              <w:t>总股本(股)：50.82亿</w:t>
            </w:r>
          </w:p>
        </w:tc>
        <w:tc>
          <w:tcPr>
            <w:tcW w:type="dxa" w:w="4320"/>
          </w:tcPr>
          <w:p>
            <w:r>
              <w:t>流通比例(%)：99.84</w:t>
            </w:r>
          </w:p>
        </w:tc>
      </w:tr>
      <w:tr>
        <w:tc>
          <w:tcPr>
            <w:tcW w:type="dxa" w:w="4320"/>
          </w:tcPr>
          <w:p>
            <w:r>
              <w:t>总市值(亿元)：288.65</w:t>
            </w:r>
          </w:p>
        </w:tc>
        <w:tc>
          <w:tcPr>
            <w:tcW w:type="dxa" w:w="4320"/>
          </w:tcPr>
          <w:p>
            <w:r>
              <w:t>流通市值(亿元)：288.2</w:t>
            </w:r>
          </w:p>
        </w:tc>
      </w:tr>
      <w:tr>
        <w:tc>
          <w:tcPr>
            <w:tcW w:type="dxa" w:w="4320"/>
          </w:tcPr>
          <w:p>
            <w:r>
              <w:t>市盈率(倍)：-51.81</w:t>
            </w:r>
          </w:p>
        </w:tc>
        <w:tc>
          <w:tcPr>
            <w:tcW w:type="dxa" w:w="4320"/>
          </w:tcPr>
          <w:p>
            <w:r>
              <w:t>市净率(倍)：6.79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-1.39亿</w:t>
            </w:r>
          </w:p>
        </w:tc>
        <w:tc>
          <w:tcPr>
            <w:tcW w:type="dxa" w:w="2160"/>
          </w:tcPr>
          <w:p>
            <w:r>
              <w:t>-539.44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5,555.64万</w:t>
            </w:r>
          </w:p>
        </w:tc>
        <w:tc>
          <w:tcPr>
            <w:tcW w:type="dxa" w:w="2160"/>
          </w:tcPr>
          <w:p>
            <w:r>
              <w:t>23.13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-3,626.14万</w:t>
            </w:r>
          </w:p>
        </w:tc>
        <w:tc>
          <w:tcPr>
            <w:tcW w:type="dxa" w:w="2160"/>
          </w:tcPr>
          <w:p>
            <w:r>
              <w:t>62.55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多晶太阳能组件，电池片，供电，晶体硅太阳能电池组件，单晶太阳能组件，硅片，光伏电池，太阳能电池制造，中型晶硅电池，太阳能光伏组件，清洁能源，液晶面板，系统集成包，分布式电源及其配套产品</w:t>
            </w:r>
          </w:p>
        </w:tc>
      </w:tr>
      <w:tr>
        <w:tc>
          <w:tcPr>
            <w:tcW w:type="dxa" w:w="8640"/>
          </w:tcPr>
          <w:p>
            <w:r>
              <w:t>所属概念：新能源，深股通，太阳能，工业4.0，多晶硅，光伏概念，融资融券，转融券标的，集成电路概念，华为概念，富时罗素概念，富时罗素概念股，MSCI概念，标普道琼斯A股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