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股票简称：国联证券</w:t>
            </w:r>
          </w:p>
        </w:tc>
        <w:tc>
          <w:tcPr>
            <w:tcW w:type="dxa" w:w="4320"/>
          </w:tcPr>
          <w:p>
            <w:r>
              <w:t>股票代码：601456</w:t>
            </w:r>
          </w:p>
        </w:tc>
      </w:tr>
      <w:tr>
        <w:tc>
          <w:tcPr>
            <w:tcW w:type="dxa" w:w="4320"/>
          </w:tcPr>
          <w:p>
            <w:r>
              <w:t>涨跌幅：17.45  +1.59/+10.03%</w:t>
            </w:r>
          </w:p>
        </w:tc>
        <w:tc>
          <w:tcPr>
            <w:tcW w:type="dxa" w:w="4320"/>
          </w:tcPr>
          <w:p>
            <w:r>
              <w:t>涨停原因：次新股。12天12板。</w:t>
            </w:r>
          </w:p>
        </w:tc>
      </w:tr>
      <w:tr>
        <w:tc>
          <w:tcPr>
            <w:tcW w:type="dxa" w:w="4320"/>
          </w:tcPr>
          <w:p>
            <w:r>
              <w:t>总股本(股)：23.78亿</w:t>
            </w:r>
          </w:p>
        </w:tc>
        <w:tc>
          <w:tcPr>
            <w:tcW w:type="dxa" w:w="4320"/>
          </w:tcPr>
          <w:p>
            <w:r>
              <w:t>流通比例(%)：38.62</w:t>
            </w:r>
          </w:p>
        </w:tc>
      </w:tr>
      <w:tr>
        <w:tc>
          <w:tcPr>
            <w:tcW w:type="dxa" w:w="4320"/>
          </w:tcPr>
          <w:p>
            <w:r>
              <w:t>总市值(亿元)：352.79</w:t>
            </w:r>
          </w:p>
        </w:tc>
        <w:tc>
          <w:tcPr>
            <w:tcW w:type="dxa" w:w="4320"/>
          </w:tcPr>
          <w:p>
            <w:r>
              <w:t>流通市值(亿元)：83.01</w:t>
            </w:r>
          </w:p>
        </w:tc>
      </w:tr>
      <w:tr>
        <w:tc>
          <w:tcPr>
            <w:tcW w:type="dxa" w:w="4320"/>
          </w:tcPr>
          <w:p>
            <w:r>
              <w:t>市盈率(倍)：45.24</w:t>
            </w:r>
          </w:p>
        </w:tc>
        <w:tc>
          <w:tcPr>
            <w:tcW w:type="dxa" w:w="4320"/>
          </w:tcPr>
          <w:p>
            <w:r>
              <w:t>市净率(倍)：5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2.29亿</w:t>
            </w:r>
          </w:p>
        </w:tc>
        <w:tc>
          <w:tcPr>
            <w:tcW w:type="dxa" w:w="2160"/>
          </w:tcPr>
          <w:p>
            <w:r>
              <w:t>-22.37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5.21亿</w:t>
            </w:r>
          </w:p>
        </w:tc>
        <w:tc>
          <w:tcPr>
            <w:tcW w:type="dxa" w:w="2160"/>
          </w:tcPr>
          <w:p>
            <w:r>
              <w:t>930.58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主营产品名称：证券经纪业务，投资银行业务，资产管理业务，新三板业务，证券自营业务，信用交易业务，直接投资业务，研究业务</w:t>
            </w:r>
          </w:p>
        </w:tc>
      </w:tr>
      <w:tr>
        <w:tc>
          <w:tcPr>
            <w:tcW w:type="dxa" w:w="8640"/>
          </w:tcPr>
          <w:p>
            <w:r>
              <w:t>所属概念：新股与次新股，非科创次新股，地方国资改革，江苏国资改革，沪股通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