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股票简称：天通股份</w:t>
            </w:r>
          </w:p>
        </w:tc>
        <w:tc>
          <w:tcPr>
            <w:tcW w:type="dxa" w:w="4320"/>
          </w:tcPr>
          <w:p>
            <w:r>
              <w:t>股票代码：600330</w:t>
            </w:r>
          </w:p>
        </w:tc>
      </w:tr>
      <w:tr>
        <w:tc>
          <w:tcPr>
            <w:tcW w:type="dxa" w:w="4320"/>
          </w:tcPr>
          <w:p>
            <w:r>
              <w:t>涨跌幅：11.59  +1.05/+9.96%</w:t>
            </w:r>
          </w:p>
        </w:tc>
        <w:tc>
          <w:tcPr>
            <w:tcW w:type="dxa" w:w="4320"/>
          </w:tcPr>
          <w:p>
            <w:r>
              <w:t>涨停原因：OLED。首板涨停。</w:t>
            </w:r>
          </w:p>
        </w:tc>
      </w:tr>
      <w:tr>
        <w:tc>
          <w:tcPr>
            <w:tcW w:type="dxa" w:w="4320"/>
          </w:tcPr>
          <w:p>
            <w:r>
              <w:t>总股本(股)：9.97亿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总市值(亿元)：115.5</w:t>
            </w:r>
          </w:p>
        </w:tc>
        <w:tc>
          <w:tcPr>
            <w:tcW w:type="dxa" w:w="4320"/>
          </w:tcPr>
          <w:p>
            <w:r>
              <w:t>流通市值(亿元)：115.5</w:t>
            </w:r>
          </w:p>
        </w:tc>
      </w:tr>
      <w:tr>
        <w:tc>
          <w:tcPr>
            <w:tcW w:type="dxa" w:w="4320"/>
          </w:tcPr>
          <w:p>
            <w:r>
              <w:t>市盈率(倍)：29.18</w:t>
            </w:r>
          </w:p>
        </w:tc>
        <w:tc>
          <w:tcPr>
            <w:tcW w:type="dxa" w:w="4320"/>
          </w:tcPr>
          <w:p>
            <w:r>
              <w:t>市净率(倍)：2.66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9,894.66万</w:t>
            </w:r>
          </w:p>
        </w:tc>
        <w:tc>
          <w:tcPr>
            <w:tcW w:type="dxa" w:w="2160"/>
          </w:tcPr>
          <w:p>
            <w:r>
              <w:t>19.74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1.62亿</w:t>
            </w:r>
          </w:p>
        </w:tc>
        <w:tc>
          <w:tcPr>
            <w:tcW w:type="dxa" w:w="2160"/>
          </w:tcPr>
          <w:p>
            <w:r>
              <w:t>-42.72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1.47亿</w:t>
            </w:r>
          </w:p>
        </w:tc>
        <w:tc>
          <w:tcPr>
            <w:tcW w:type="dxa" w:w="2160"/>
          </w:tcPr>
          <w:p>
            <w:r>
              <w:t>-37.11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专用设备及定制产品，电子表面贴装产品，太阳能光伏及led产品，蓝宝石，加工服务，太阳能光伏产品，磁性材料，稀土永磁，参新，超级计算机，nfc，液晶，软磁材料，新能源，蓝宝石基板，软磁业务，蓝宝石材料，路桥，电池，蓝宝石屏，电子部品，专用装备及定制产品，蓝宝石产品，开关电源磁性材料，滤波磁性材料，镍锌磁性材料，nfc铁氧体磁片，蓝宝石晶棒，蓝宝石衬底片，蓝宝石窗口片，专用设备，专用装备制造及安装，磁性材料制造，电子部品制造及服务，蓝宝石产业</w:t>
            </w:r>
          </w:p>
        </w:tc>
      </w:tr>
      <w:tr>
        <w:tc>
          <w:tcPr>
            <w:tcW w:type="dxa" w:w="8640"/>
          </w:tcPr>
          <w:p>
            <w:r>
              <w:t>所属概念：国产替代，超级计算机，太阳能，融资融券，转融券标的，锂电池，新材料概念，新能源汽车，小金属概念，特斯拉，OLED，长三角一体化，OLED设备制造，5G，半年报预增，光伏概念，蓝宝石，充电桩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