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股票简称：左江科技</w:t>
            </w:r>
          </w:p>
        </w:tc>
        <w:tc>
          <w:tcPr>
            <w:tcW w:type="dxa" w:w="4320"/>
          </w:tcPr>
          <w:p>
            <w:r>
              <w:t>股票代码：300799</w:t>
            </w:r>
          </w:p>
        </w:tc>
      </w:tr>
      <w:tr>
        <w:tc>
          <w:tcPr>
            <w:tcW w:type="dxa" w:w="4320"/>
          </w:tcPr>
          <w:p>
            <w:r>
              <w:t>涨跌幅：71.94  +6.54/+10.00%</w:t>
            </w:r>
          </w:p>
        </w:tc>
        <w:tc>
          <w:tcPr>
            <w:tcW w:type="dxa" w:w="4320"/>
          </w:tcPr>
          <w:p>
            <w:r>
              <w:t>涨停原因：次新股+军工。2天2板。</w:t>
            </w:r>
          </w:p>
        </w:tc>
      </w:tr>
      <w:tr>
        <w:tc>
          <w:tcPr>
            <w:tcW w:type="dxa" w:w="4320"/>
          </w:tcPr>
          <w:p>
            <w:r>
              <w:t>总股本(股)：1.02亿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总市值(亿元)：73.38</w:t>
            </w:r>
          </w:p>
        </w:tc>
        <w:tc>
          <w:tcPr>
            <w:tcW w:type="dxa" w:w="4320"/>
          </w:tcPr>
          <w:p>
            <w:r>
              <w:t>流通市值(亿元)：18.34</w:t>
            </w:r>
          </w:p>
        </w:tc>
      </w:tr>
      <w:tr>
        <w:tc>
          <w:tcPr>
            <w:tcW w:type="dxa" w:w="4320"/>
          </w:tcPr>
          <w:p>
            <w:r>
              <w:t>市盈率(倍)：387.62</w:t>
            </w:r>
          </w:p>
        </w:tc>
        <w:tc>
          <w:tcPr>
            <w:tcW w:type="dxa" w:w="4320"/>
          </w:tcPr>
          <w:p>
            <w:r>
              <w:t>市净率(倍)：11.68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473.27万</w:t>
            </w:r>
          </w:p>
        </w:tc>
        <w:tc>
          <w:tcPr>
            <w:tcW w:type="dxa" w:w="2160"/>
          </w:tcPr>
          <w:p>
            <w:r>
              <w:t>6,909.08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8,870.83万</w:t>
            </w:r>
          </w:p>
        </w:tc>
        <w:tc>
          <w:tcPr>
            <w:tcW w:type="dxa" w:w="2160"/>
          </w:tcPr>
          <w:p>
            <w:r>
              <w:t>37.57</w:t>
            </w:r>
          </w:p>
        </w:tc>
        <w:tc>
          <w:tcPr>
            <w:tcW w:type="dxa" w:w="2160"/>
          </w:tcPr>
          <w:p>
            <w:r>
              <w:t>1.65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2,310.89万</w:t>
            </w:r>
          </w:p>
        </w:tc>
        <w:tc>
          <w:tcPr>
            <w:tcW w:type="dxa" w:w="2160"/>
          </w:tcPr>
          <w:p>
            <w:r>
              <w:t>52.44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主营产品名称：安全异构双主机系列平台，安全同构双主机系列平台，整机类受托研发，部件类受托研发，单板卡安全平台，专用芯片，安全双主机系列平台，安全多主机系列平台，移动安全双主机平台</w:t>
            </w:r>
          </w:p>
        </w:tc>
      </w:tr>
      <w:tr>
        <w:tc>
          <w:tcPr>
            <w:tcW w:type="dxa" w:w="8640"/>
          </w:tcPr>
          <w:p>
            <w:r>
              <w:t>所属概念：新股与次新股，网络安全，芯片概念，非科创次新股，军工，深股通，送转填权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