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股票简称：成都银行</w:t>
            </w:r>
          </w:p>
        </w:tc>
        <w:tc>
          <w:tcPr>
            <w:tcW w:type="dxa" w:w="4320"/>
          </w:tcPr>
          <w:p>
            <w:r>
              <w:t>股票代码：601838</w:t>
            </w:r>
          </w:p>
        </w:tc>
      </w:tr>
      <w:tr>
        <w:tc>
          <w:tcPr>
            <w:tcW w:type="dxa" w:w="4320"/>
          </w:tcPr>
          <w:p>
            <w:r>
              <w:t>涨跌幅：11.08  +1.01/+10.03%</w:t>
            </w:r>
          </w:p>
        </w:tc>
        <w:tc>
          <w:tcPr>
            <w:tcW w:type="dxa" w:w="4320"/>
          </w:tcPr>
          <w:p>
            <w:r>
              <w:t>涨停原因：银行板块。首板涨停。</w:t>
            </w:r>
          </w:p>
        </w:tc>
      </w:tr>
      <w:tr>
        <w:tc>
          <w:tcPr>
            <w:tcW w:type="dxa" w:w="4320"/>
          </w:tcPr>
          <w:p>
            <w:r>
              <w:t>总股本(股)：36.12亿</w:t>
            </w:r>
          </w:p>
        </w:tc>
        <w:tc>
          <w:tcPr>
            <w:tcW w:type="dxa" w:w="4320"/>
          </w:tcPr>
          <w:p>
            <w:r>
              <w:t>流通比例(%)：52.44</w:t>
            </w:r>
          </w:p>
        </w:tc>
      </w:tr>
      <w:tr>
        <w:tc>
          <w:tcPr>
            <w:tcW w:type="dxa" w:w="4320"/>
          </w:tcPr>
          <w:p>
            <w:r>
              <w:t>总市值(亿元)：400.24</w:t>
            </w:r>
          </w:p>
        </w:tc>
        <w:tc>
          <w:tcPr>
            <w:tcW w:type="dxa" w:w="4320"/>
          </w:tcPr>
          <w:p>
            <w:r>
              <w:t>流通市值(亿元)：209.88</w:t>
            </w:r>
          </w:p>
        </w:tc>
      </w:tr>
      <w:tr>
        <w:tc>
          <w:tcPr>
            <w:tcW w:type="dxa" w:w="4320"/>
          </w:tcPr>
          <w:p>
            <w:r>
              <w:t>市盈率(倍)：7.08</w:t>
            </w:r>
          </w:p>
        </w:tc>
        <w:tc>
          <w:tcPr>
            <w:tcW w:type="dxa" w:w="4320"/>
          </w:tcPr>
          <w:p>
            <w:r>
              <w:t>市净率(倍)：1.08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14.14亿</w:t>
            </w:r>
          </w:p>
        </w:tc>
        <w:tc>
          <w:tcPr>
            <w:tcW w:type="dxa" w:w="2160"/>
          </w:tcPr>
          <w:p>
            <w:r>
              <w:t>11.60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55.51亿</w:t>
            </w:r>
          </w:p>
        </w:tc>
        <w:tc>
          <w:tcPr>
            <w:tcW w:type="dxa" w:w="2160"/>
          </w:tcPr>
          <w:p>
            <w:r>
              <w:t>19.40</w:t>
            </w:r>
          </w:p>
        </w:tc>
        <w:tc>
          <w:tcPr>
            <w:tcW w:type="dxa" w:w="2160"/>
          </w:tcPr>
          <w:p>
            <w:r>
              <w:t>1.54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40.07亿</w:t>
            </w:r>
          </w:p>
        </w:tc>
        <w:tc>
          <w:tcPr>
            <w:tcW w:type="dxa" w:w="2160"/>
          </w:tcPr>
          <w:p>
            <w:r>
              <w:t>18.01</w:t>
            </w:r>
          </w:p>
        </w:tc>
        <w:tc>
          <w:tcPr>
            <w:tcW w:type="dxa" w:w="2160"/>
          </w:tcPr>
          <w:p>
            <w:r>
              <w:t>1.11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主营产品名称：公司银行业务，个人银行业务，资金业务，资金营运业务，支付业务，支付，资产业务，负债业务，新兴业务，特色金融业务</w:t>
            </w:r>
          </w:p>
        </w:tc>
      </w:tr>
      <w:tr>
        <w:tc>
          <w:tcPr>
            <w:tcW w:type="dxa" w:w="8640"/>
          </w:tcPr>
          <w:p>
            <w:r>
              <w:t>所属概念：沪股通，融资融券，转融券标的，富时罗素概念，富时罗素概念股，标普道琼斯A股，MSCI概念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