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股票简称：招商证券</w:t>
            </w:r>
          </w:p>
        </w:tc>
        <w:tc>
          <w:tcPr>
            <w:tcW w:type="dxa" w:w="4320"/>
          </w:tcPr>
          <w:p>
            <w:r>
              <w:t>股票代码：600999</w:t>
            </w:r>
          </w:p>
        </w:tc>
      </w:tr>
      <w:tr>
        <w:tc>
          <w:tcPr>
            <w:tcW w:type="dxa" w:w="4320"/>
          </w:tcPr>
          <w:p>
            <w:r>
              <w:t>涨跌幅：22.54  +2.05/+10.01%</w:t>
            </w:r>
          </w:p>
        </w:tc>
        <w:tc>
          <w:tcPr>
            <w:tcW w:type="dxa" w:w="4320"/>
          </w:tcPr>
          <w:p>
            <w:r>
              <w:t>涨停原因：券商板块。首板涨停。</w:t>
            </w:r>
          </w:p>
        </w:tc>
      </w:tr>
      <w:tr>
        <w:tc>
          <w:tcPr>
            <w:tcW w:type="dxa" w:w="4320"/>
          </w:tcPr>
          <w:p>
            <w:r>
              <w:t>总股本(股)：84.02亿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总市值(亿元)：1766.27</w:t>
            </w:r>
          </w:p>
        </w:tc>
        <w:tc>
          <w:tcPr>
            <w:tcW w:type="dxa" w:w="4320"/>
          </w:tcPr>
          <w:p>
            <w:r>
              <w:t>流通市值(亿元)：1672.92</w:t>
            </w:r>
          </w:p>
        </w:tc>
      </w:tr>
      <w:tr>
        <w:tc>
          <w:tcPr>
            <w:tcW w:type="dxa" w:w="4320"/>
          </w:tcPr>
          <w:p>
            <w:r>
              <w:t>市盈率(倍)：26.34</w:t>
            </w:r>
          </w:p>
        </w:tc>
        <w:tc>
          <w:tcPr>
            <w:tcW w:type="dxa" w:w="4320"/>
          </w:tcPr>
          <w:p>
            <w:r>
              <w:t>市净率(倍)：2.62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17.98亿</w:t>
            </w:r>
          </w:p>
        </w:tc>
        <w:tc>
          <w:tcPr>
            <w:tcW w:type="dxa" w:w="2160"/>
          </w:tcPr>
          <w:p>
            <w:r>
              <w:t>-15.49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72.82亿</w:t>
            </w:r>
          </w:p>
        </w:tc>
        <w:tc>
          <w:tcPr>
            <w:tcW w:type="dxa" w:w="2160"/>
          </w:tcPr>
          <w:p>
            <w:r>
              <w:t>64.57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48.24亿</w:t>
            </w:r>
          </w:p>
        </w:tc>
        <w:tc>
          <w:tcPr>
            <w:tcW w:type="dxa" w:w="2160"/>
          </w:tcPr>
          <w:p>
            <w:r>
              <w:t>57.03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资产管理业务，投资银行业务，证券投资业务，研发业务，场外市场业务，托管业务，博时基金股权投资，股票承销，财务顾问业务，境外证券投资管理，经纪业务，金改，经纪，融资融券，资金业务，自营投资，自营业务，证券经纪，证券投资，权益类资产，手续费，手续费收入，股票承销业务，经纪及财富管理业务，投资管理业务，投资及交易业</w:t>
            </w:r>
          </w:p>
        </w:tc>
      </w:tr>
      <w:tr>
        <w:tc>
          <w:tcPr>
            <w:tcW w:type="dxa" w:w="8640"/>
          </w:tcPr>
          <w:p>
            <w:r>
              <w:t>所属概念：招商系，融资融券，沪股通，转融券标的，央企国资改革，富时罗素概念，参股万达商业，富时罗素概念股，标普道琼斯A股，MSCI概念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