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股票简称：新力金融</w:t>
            </w:r>
          </w:p>
        </w:tc>
        <w:tc>
          <w:tcPr>
            <w:tcW w:type="dxa" w:w="4320"/>
          </w:tcPr>
          <w:p>
            <w:r>
              <w:t>股票代码：600318</w:t>
            </w:r>
          </w:p>
        </w:tc>
      </w:tr>
      <w:tr>
        <w:tc>
          <w:tcPr>
            <w:tcW w:type="dxa" w:w="4320"/>
          </w:tcPr>
          <w:p>
            <w:r>
              <w:t>涨跌幅：13.46  +1.22/+9.97%</w:t>
            </w:r>
          </w:p>
        </w:tc>
        <w:tc>
          <w:tcPr>
            <w:tcW w:type="dxa" w:w="4320"/>
          </w:tcPr>
          <w:p>
            <w:r>
              <w:t>涨停原因：互联网金融。首板涨停。</w:t>
            </w:r>
          </w:p>
        </w:tc>
      </w:tr>
      <w:tr>
        <w:tc>
          <w:tcPr>
            <w:tcW w:type="dxa" w:w="4320"/>
          </w:tcPr>
          <w:p>
            <w:r>
              <w:t>总股本(股)：5.13亿</w:t>
            </w:r>
          </w:p>
        </w:tc>
        <w:tc>
          <w:tcPr>
            <w:tcW w:type="dxa" w:w="4320"/>
          </w:tcPr>
          <w:p>
            <w:r>
              <w:t>流通比例(%)：98.22</w:t>
            </w:r>
          </w:p>
        </w:tc>
      </w:tr>
      <w:tr>
        <w:tc>
          <w:tcPr>
            <w:tcW w:type="dxa" w:w="4320"/>
          </w:tcPr>
          <w:p>
            <w:r>
              <w:t>总市值(亿元)：69.1</w:t>
            </w:r>
          </w:p>
        </w:tc>
        <w:tc>
          <w:tcPr>
            <w:tcW w:type="dxa" w:w="4320"/>
          </w:tcPr>
          <w:p>
            <w:r>
              <w:t>流通市值(亿元)：67.87</w:t>
            </w:r>
          </w:p>
        </w:tc>
      </w:tr>
      <w:tr>
        <w:tc>
          <w:tcPr>
            <w:tcW w:type="dxa" w:w="4320"/>
          </w:tcPr>
          <w:p>
            <w:r>
              <w:t>市盈率(倍)：378.84</w:t>
            </w:r>
          </w:p>
        </w:tc>
        <w:tc>
          <w:tcPr>
            <w:tcW w:type="dxa" w:w="4320"/>
          </w:tcPr>
          <w:p>
            <w:r>
              <w:t>市净率(倍)：5.47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455.99万</w:t>
            </w:r>
          </w:p>
        </w:tc>
        <w:tc>
          <w:tcPr>
            <w:tcW w:type="dxa" w:w="2160"/>
          </w:tcPr>
          <w:p>
            <w:r>
              <w:t>-78.30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3,228.07万</w:t>
            </w:r>
          </w:p>
        </w:tc>
        <w:tc>
          <w:tcPr>
            <w:tcW w:type="dxa" w:w="2160"/>
          </w:tcPr>
          <w:p>
            <w:r>
              <w:t>-39.06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3,870.28万</w:t>
            </w:r>
          </w:p>
        </w:tc>
        <w:tc>
          <w:tcPr>
            <w:tcW w:type="dxa" w:w="2160"/>
          </w:tcPr>
          <w:p>
            <w:r>
              <w:t>1.80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主营产品名称：熟料，水泥，凹凸棒，水泥业务，交通运输，咨询，平台管理，咨询服务，融资租赁，融资担保，典当业务，网贷信息中介服务，软件和信息技术服务业</w:t>
            </w:r>
          </w:p>
        </w:tc>
      </w:tr>
      <w:tr>
        <w:tc>
          <w:tcPr>
            <w:tcW w:type="dxa" w:w="8640"/>
          </w:tcPr>
          <w:p>
            <w:r>
              <w:t>所属概念：保障房，安徽城镇化，纳米，合肥迪士尼，债转股，融资租赁，融资融券，转融券标的，P2P概念，互联网金融，供销社，农村金融，互联网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