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股票简称：日月股份</w:t>
            </w:r>
          </w:p>
        </w:tc>
        <w:tc>
          <w:tcPr>
            <w:tcW w:type="dxa" w:w="4320"/>
          </w:tcPr>
          <w:p>
            <w:r>
              <w:t>股票代码：603218</w:t>
            </w:r>
          </w:p>
        </w:tc>
      </w:tr>
      <w:tr>
        <w:tc>
          <w:tcPr>
            <w:tcW w:type="dxa" w:w="4320"/>
          </w:tcPr>
          <w:p>
            <w:r>
              <w:t>涨跌幅：20.91  +1.90/+10.00%</w:t>
            </w:r>
          </w:p>
        </w:tc>
        <w:tc>
          <w:tcPr>
            <w:tcW w:type="dxa" w:w="4320"/>
          </w:tcPr>
          <w:p>
            <w:r>
              <w:t>涨停原因：风电。首板涨停。</w:t>
            </w:r>
          </w:p>
        </w:tc>
      </w:tr>
      <w:tr>
        <w:tc>
          <w:tcPr>
            <w:tcW w:type="dxa" w:w="4320"/>
          </w:tcPr>
          <w:p>
            <w:r>
              <w:t>总股本(股)：7.44亿</w:t>
            </w:r>
          </w:p>
        </w:tc>
        <w:tc>
          <w:tcPr>
            <w:tcW w:type="dxa" w:w="4320"/>
          </w:tcPr>
          <w:p>
            <w:r>
              <w:t>流通比例(%)：98.92</w:t>
            </w:r>
          </w:p>
        </w:tc>
      </w:tr>
      <w:tr>
        <w:tc>
          <w:tcPr>
            <w:tcW w:type="dxa" w:w="4320"/>
          </w:tcPr>
          <w:p>
            <w:r>
              <w:t>总市值(亿元)：155.52</w:t>
            </w:r>
          </w:p>
        </w:tc>
        <w:tc>
          <w:tcPr>
            <w:tcW w:type="dxa" w:w="4320"/>
          </w:tcPr>
          <w:p>
            <w:r>
              <w:t>流通市值(亿元)：153.83</w:t>
            </w:r>
          </w:p>
        </w:tc>
      </w:tr>
      <w:tr>
        <w:tc>
          <w:tcPr>
            <w:tcW w:type="dxa" w:w="4320"/>
          </w:tcPr>
          <w:p>
            <w:r>
              <w:t>市盈率(倍)：29.81</w:t>
            </w:r>
          </w:p>
        </w:tc>
        <w:tc>
          <w:tcPr>
            <w:tcW w:type="dxa" w:w="4320"/>
          </w:tcPr>
          <w:p>
            <w:r>
              <w:t>市净率(倍)：4.39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1.30亿</w:t>
            </w:r>
          </w:p>
        </w:tc>
        <w:tc>
          <w:tcPr>
            <w:tcW w:type="dxa" w:w="2160"/>
          </w:tcPr>
          <w:p>
            <w:r>
              <w:t>57.15</w:t>
            </w:r>
          </w:p>
        </w:tc>
        <w:tc>
          <w:tcPr>
            <w:tcW w:type="dxa" w:w="2160"/>
          </w:tcPr>
          <w:p>
            <w:r>
              <w:t>0.25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5.05亿</w:t>
            </w:r>
          </w:p>
        </w:tc>
        <w:tc>
          <w:tcPr>
            <w:tcW w:type="dxa" w:w="2160"/>
          </w:tcPr>
          <w:p>
            <w:r>
              <w:t>79.84</w:t>
            </w:r>
          </w:p>
        </w:tc>
        <w:tc>
          <w:tcPr>
            <w:tcW w:type="dxa" w:w="2160"/>
          </w:tcPr>
          <w:p>
            <w:r>
              <w:t>0.97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3.45亿</w:t>
            </w:r>
          </w:p>
        </w:tc>
        <w:tc>
          <w:tcPr>
            <w:tcW w:type="dxa" w:w="2160"/>
          </w:tcPr>
          <w:p>
            <w:r>
              <w:t>73.03</w:t>
            </w:r>
          </w:p>
        </w:tc>
        <w:tc>
          <w:tcPr>
            <w:tcW w:type="dxa" w:w="2160"/>
          </w:tcPr>
          <w:p>
            <w:r>
              <w:t>0.65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箱体，扭力臂，轮毂（转子头），底座，行星架，定动轴，主轴套，注射油缸，高压油缸，超长油缸，高压油缸模板，头板，二板，尾板，直立式机体，v形机体，缸盖，活塞，曲轴，床身，工作台，横梁，滑枕，风电铸件，塑料机械铸件，柴油机铸件，加工中心铸件，铸件，大型空压机重要部件，风电，注塑机</w:t>
            </w:r>
          </w:p>
        </w:tc>
      </w:tr>
      <w:tr>
        <w:tc>
          <w:tcPr>
            <w:tcW w:type="dxa" w:w="8640"/>
          </w:tcPr>
          <w:p>
            <w:r>
              <w:t>所属概念：一带一路，机械装备，养老金持股，沪股通，风电，半年报预增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