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股票简称：*ST中南</w:t>
            </w:r>
          </w:p>
        </w:tc>
        <w:tc>
          <w:tcPr>
            <w:tcW w:type="dxa" w:w="4320"/>
          </w:tcPr>
          <w:p>
            <w:r>
              <w:t>股票代码：002445</w:t>
            </w:r>
          </w:p>
        </w:tc>
      </w:tr>
      <w:tr>
        <w:tc>
          <w:tcPr>
            <w:tcW w:type="dxa" w:w="4320"/>
          </w:tcPr>
          <w:p>
            <w:r>
              <w:t>涨跌幅：2.06  +0.10/+5.10%</w:t>
            </w:r>
          </w:p>
        </w:tc>
        <w:tc>
          <w:tcPr>
            <w:tcW w:type="dxa" w:w="4320"/>
          </w:tcPr>
          <w:p>
            <w:r>
              <w:t>涨停原因：重整计划。首板涨停。</w:t>
            </w:r>
          </w:p>
        </w:tc>
      </w:tr>
      <w:tr>
        <w:tc>
          <w:tcPr>
            <w:tcW w:type="dxa" w:w="4320"/>
          </w:tcPr>
          <w:p>
            <w:r>
              <w:t>总股本(股)：13.89亿</w:t>
            </w:r>
          </w:p>
        </w:tc>
        <w:tc>
          <w:tcPr>
            <w:tcW w:type="dxa" w:w="4320"/>
          </w:tcPr>
          <w:p>
            <w:r>
              <w:t>流通比例(%)：98.34</w:t>
            </w:r>
          </w:p>
        </w:tc>
      </w:tr>
      <w:tr>
        <w:tc>
          <w:tcPr>
            <w:tcW w:type="dxa" w:w="4320"/>
          </w:tcPr>
          <w:p>
            <w:r>
              <w:t>总市值(亿元)：28.62</w:t>
            </w:r>
          </w:p>
        </w:tc>
        <w:tc>
          <w:tcPr>
            <w:tcW w:type="dxa" w:w="4320"/>
          </w:tcPr>
          <w:p>
            <w:r>
              <w:t>流通市值(亿元)：28.14</w:t>
            </w:r>
          </w:p>
        </w:tc>
      </w:tr>
      <w:tr>
        <w:tc>
          <w:tcPr>
            <w:tcW w:type="dxa" w:w="4320"/>
          </w:tcPr>
          <w:p>
            <w:r>
              <w:t>市盈率(倍)：-9.29</w:t>
            </w:r>
          </w:p>
        </w:tc>
        <w:tc>
          <w:tcPr>
            <w:tcW w:type="dxa" w:w="4320"/>
          </w:tcPr>
          <w:p>
            <w:r>
              <w:t>市净率(倍)：27.36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-7,700.44万</w:t>
            </w:r>
          </w:p>
        </w:tc>
        <w:tc>
          <w:tcPr>
            <w:tcW w:type="dxa" w:w="2160"/>
          </w:tcPr>
          <w:p>
            <w:r>
              <w:t>-37.26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-17.98亿</w:t>
            </w:r>
          </w:p>
        </w:tc>
        <w:tc>
          <w:tcPr>
            <w:tcW w:type="dxa" w:w="2160"/>
          </w:tcPr>
          <w:p>
            <w:r>
              <w:t>14.40</w:t>
            </w:r>
          </w:p>
        </w:tc>
        <w:tc>
          <w:tcPr>
            <w:tcW w:type="dxa" w:w="2160"/>
          </w:tcPr>
          <w:p>
            <w:r>
              <w:t>-1.29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-2.74亿</w:t>
            </w:r>
          </w:p>
        </w:tc>
        <w:tc>
          <w:tcPr>
            <w:tcW w:type="dxa" w:w="2160"/>
          </w:tcPr>
          <w:p>
            <w:r>
              <w:t>-1,060.38</w:t>
            </w:r>
          </w:p>
        </w:tc>
        <w:tc>
          <w:tcPr>
            <w:tcW w:type="dxa" w:w="2160"/>
          </w:tcPr>
          <w:p>
            <w:r>
              <w:t>-0.20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主营产品名称：法兰，管系，压力容器，钢料，铜金属，不锈钢，复合材料，金属管件，文化，影视业，血管，工业金属管件，核电，油气，电视剧，影视剧，版权，网页游戏，游戏推广</w:t>
            </w:r>
          </w:p>
        </w:tc>
      </w:tr>
      <w:tr>
        <w:tc>
          <w:tcPr>
            <w:tcW w:type="dxa" w:w="8640"/>
          </w:tcPr>
          <w:p>
            <w:r>
              <w:t>所属概念：大数据，中概股回归，参股360，音乐产业，高端装备，VR影视，虚拟现实，文化传媒，明星参股概念，股权转让，网络直播，独角兽概念，ST板块，影视娱乐，地方国资改革，商誉减值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