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股票简称：*ST升达</w:t>
            </w:r>
          </w:p>
        </w:tc>
        <w:tc>
          <w:tcPr>
            <w:tcW w:type="dxa" w:w="4320"/>
          </w:tcPr>
          <w:p>
            <w:r>
              <w:t>股票代码：002259</w:t>
            </w:r>
          </w:p>
        </w:tc>
      </w:tr>
      <w:tr>
        <w:tc>
          <w:tcPr>
            <w:tcW w:type="dxa" w:w="4320"/>
          </w:tcPr>
          <w:p>
            <w:r>
              <w:t>涨跌幅：3.48  +0.17/+5.14%</w:t>
            </w:r>
          </w:p>
        </w:tc>
        <w:tc>
          <w:tcPr>
            <w:tcW w:type="dxa" w:w="4320"/>
          </w:tcPr>
          <w:p>
            <w:r>
              <w:t>涨停原因：业绩增长。首板涨停。</w:t>
            </w:r>
          </w:p>
        </w:tc>
      </w:tr>
      <w:tr>
        <w:tc>
          <w:tcPr>
            <w:tcW w:type="dxa" w:w="4320"/>
          </w:tcPr>
          <w:p>
            <w:r>
              <w:t>总股本(股)：7.52亿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总市值(亿元)：26.18</w:t>
            </w:r>
          </w:p>
        </w:tc>
        <w:tc>
          <w:tcPr>
            <w:tcW w:type="dxa" w:w="4320"/>
          </w:tcPr>
          <w:p>
            <w:r>
              <w:t>流通市值(亿元)：26.18</w:t>
            </w:r>
          </w:p>
        </w:tc>
      </w:tr>
      <w:tr>
        <w:tc>
          <w:tcPr>
            <w:tcW w:type="dxa" w:w="4320"/>
          </w:tcPr>
          <w:p>
            <w:r>
              <w:t>市盈率(倍)：-21.15</w:t>
            </w:r>
          </w:p>
        </w:tc>
        <w:tc>
          <w:tcPr>
            <w:tcW w:type="dxa" w:w="4320"/>
          </w:tcPr>
          <w:p>
            <w:r>
              <w:t>市净率(倍)：12.21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-3,093.98万</w:t>
            </w:r>
          </w:p>
        </w:tc>
        <w:tc>
          <w:tcPr>
            <w:tcW w:type="dxa" w:w="2160"/>
          </w:tcPr>
          <w:p>
            <w:r>
              <w:t>-163.51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-12.47亿</w:t>
            </w:r>
          </w:p>
        </w:tc>
        <w:tc>
          <w:tcPr>
            <w:tcW w:type="dxa" w:w="2160"/>
          </w:tcPr>
          <w:p>
            <w:r>
              <w:t>-600.12</w:t>
            </w:r>
          </w:p>
        </w:tc>
        <w:tc>
          <w:tcPr>
            <w:tcW w:type="dxa" w:w="2160"/>
          </w:tcPr>
          <w:p>
            <w:r>
              <w:t>-1.66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-8,217.96万</w:t>
            </w:r>
          </w:p>
        </w:tc>
        <w:tc>
          <w:tcPr>
            <w:tcW w:type="dxa" w:w="2160"/>
          </w:tcPr>
          <w:p>
            <w:r>
              <w:t>-102.54</w:t>
            </w:r>
          </w:p>
        </w:tc>
        <w:tc>
          <w:tcPr>
            <w:tcW w:type="dxa" w:w="2160"/>
          </w:tcPr>
          <w:p>
            <w:r>
              <w:t>-0.11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主营产品名称：纤维板，木门，柜体，其他，升达木门，地板，风沙治理，美丽中国，清洁能源，lng，天然气液化处理，lng加气站销售，城镇燃气管网运营</w:t>
            </w:r>
          </w:p>
        </w:tc>
      </w:tr>
      <w:tr>
        <w:tc>
          <w:tcPr>
            <w:tcW w:type="dxa" w:w="8640"/>
          </w:tcPr>
          <w:p>
            <w:r>
              <w:t>所属概念：胶合板，纤维板，风沙治理，林场改革，跨境电商，壳资源，天然气，股权转让，ST板块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